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695"/>
        <w:rPr>
          <w:rFonts w:ascii="Times New Roman"/>
        </w:rPr>
      </w:pPr>
      <w:r>
        <w:rPr/>
        <w:pict>
          <v:rect style="position:absolute;margin-left:0pt;margin-top:.00024pt;width:595.27557pt;height:841.88977pt;mso-position-horizontal-relative:page;mso-position-vertical-relative:page;z-index:-252320768" filled="true" fillcolor="#861d46" stroked="false">
            <v:fill type="solid"/>
            <w10:wrap type="none"/>
          </v:rect>
        </w:pict>
      </w:r>
      <w:r>
        <w:rPr>
          <w:rFonts w:ascii="Times New Roman"/>
        </w:rPr>
        <w:drawing>
          <wp:inline distT="0" distB="0" distL="0" distR="0">
            <wp:extent cx="1965005" cy="933450"/>
            <wp:effectExtent l="0" t="0" r="0" b="0"/>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965005" cy="933450"/>
                    </a:xfrm>
                    <a:prstGeom prst="rect">
                      <a:avLst/>
                    </a:prstGeom>
                  </pic:spPr>
                </pic:pic>
              </a:graphicData>
            </a:graphic>
          </wp:inline>
        </w:drawing>
      </w:r>
      <w:r>
        <w:rPr>
          <w:rFonts w:ascii="Times New Roman"/>
        </w:rPr>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8"/>
        <w:rPr>
          <w:rFonts w:ascii="Times New Roman"/>
          <w:sz w:val="24"/>
        </w:rPr>
      </w:pPr>
    </w:p>
    <w:p>
      <w:pPr>
        <w:pStyle w:val="Heading1"/>
      </w:pPr>
      <w:r>
        <w:rPr>
          <w:color w:val="FFFFFF"/>
          <w:w w:val="105"/>
        </w:rPr>
        <w:t>Conservation </w:t>
      </w:r>
      <w:r>
        <w:rPr>
          <w:color w:val="FFFFFF"/>
          <w:spacing w:val="-3"/>
          <w:w w:val="105"/>
        </w:rPr>
        <w:t>Area</w:t>
      </w:r>
      <w:r>
        <w:rPr>
          <w:color w:val="FFFFFF"/>
          <w:spacing w:val="66"/>
          <w:w w:val="105"/>
        </w:rPr>
        <w:t> </w:t>
      </w:r>
      <w:r>
        <w:rPr>
          <w:color w:val="FFFFFF"/>
          <w:w w:val="105"/>
        </w:rPr>
        <w:t>Appraisal</w:t>
      </w:r>
    </w:p>
    <w:p>
      <w:pPr>
        <w:spacing w:before="88"/>
        <w:ind w:left="673" w:right="0" w:firstLine="0"/>
        <w:jc w:val="left"/>
        <w:rPr>
          <w:b/>
          <w:sz w:val="73"/>
        </w:rPr>
      </w:pPr>
      <w:r>
        <w:rPr>
          <w:b/>
          <w:color w:val="FFFFFF"/>
          <w:spacing w:val="-3"/>
          <w:w w:val="115"/>
          <w:sz w:val="73"/>
        </w:rPr>
        <w:t>Church </w:t>
      </w:r>
      <w:r>
        <w:rPr>
          <w:b/>
          <w:color w:val="FFFFFF"/>
          <w:w w:val="115"/>
          <w:sz w:val="73"/>
        </w:rPr>
        <w:t>Road,</w:t>
      </w:r>
      <w:r>
        <w:rPr>
          <w:b/>
          <w:color w:val="FFFFFF"/>
          <w:spacing w:val="66"/>
          <w:w w:val="115"/>
          <w:sz w:val="73"/>
        </w:rPr>
        <w:t> </w:t>
      </w:r>
      <w:r>
        <w:rPr>
          <w:b/>
          <w:color w:val="FFFFFF"/>
          <w:spacing w:val="-14"/>
          <w:w w:val="115"/>
          <w:sz w:val="73"/>
        </w:rPr>
        <w:t>Tadley</w:t>
      </w:r>
    </w:p>
    <w:p>
      <w:pPr>
        <w:pStyle w:val="BodyText"/>
        <w:rPr>
          <w:b/>
        </w:rPr>
      </w:pPr>
    </w:p>
    <w:p>
      <w:pPr>
        <w:pStyle w:val="BodyText"/>
        <w:rPr>
          <w:b/>
        </w:rPr>
      </w:pPr>
    </w:p>
    <w:p>
      <w:pPr>
        <w:pStyle w:val="BodyText"/>
        <w:spacing w:before="5"/>
        <w:rPr>
          <w:b/>
          <w:sz w:val="12"/>
        </w:rPr>
      </w:pPr>
    </w:p>
    <w:p>
      <w:pPr>
        <w:pStyle w:val="BodyText"/>
        <w:ind w:left="-125"/>
      </w:pPr>
      <w:r>
        <w:rPr/>
        <w:pict>
          <v:group style="width:584.2pt;height:413.9pt;mso-position-horizontal-relative:char;mso-position-vertical-relative:line" coordorigin="0,0" coordsize="11684,8278">
            <v:shape style="position:absolute;left:5;top:5;width:11674;height:8268" type="#_x0000_t75" stroked="false">
              <v:imagedata r:id="rId6" o:title=""/>
            </v:shape>
            <v:shape style="position:absolute;left:5;top:5;width:11674;height:8268" coordorigin="5,5" coordsize="11674,8268" path="m5,8272l1698,8272,5649,8272,9599,8272,11395,8272,11440,8268,11537,8237,11634,8153,11679,7989,11679,6786,11679,4139,11679,1492,11679,288,11674,244,11643,147,11559,49,11395,5,9599,5,5649,5,1698,5,5,5e" filled="false" stroked="true" strokeweight=".5pt" strokecolor="#000000">
              <v:path arrowok="t"/>
              <v:stroke dashstyle="solid"/>
            </v:shape>
          </v:group>
        </w:pict>
      </w:r>
      <w:r>
        <w:rPr/>
      </w:r>
    </w:p>
    <w:p>
      <w:pPr>
        <w:spacing w:before="95"/>
        <w:ind w:left="7022" w:right="0" w:firstLine="0"/>
        <w:jc w:val="left"/>
        <w:rPr>
          <w:rFonts w:ascii="Cambria" w:hAnsi="Cambria"/>
          <w:sz w:val="42"/>
        </w:rPr>
      </w:pPr>
      <w:r>
        <w:rPr>
          <w:rFonts w:ascii="Cambria" w:hAnsi="Cambria"/>
          <w:color w:val="FFFFFF"/>
          <w:sz w:val="42"/>
        </w:rPr>
        <w:t>…making a difference</w:t>
      </w:r>
    </w:p>
    <w:p>
      <w:pPr>
        <w:spacing w:after="0"/>
        <w:jc w:val="left"/>
        <w:rPr>
          <w:rFonts w:ascii="Cambria" w:hAnsi="Cambria"/>
          <w:sz w:val="42"/>
        </w:rPr>
        <w:sectPr>
          <w:type w:val="continuous"/>
          <w:pgSz w:w="11910" w:h="16840"/>
          <w:pgMar w:top="880" w:bottom="0" w:left="120" w:right="120"/>
        </w:sectPr>
      </w:pPr>
    </w:p>
    <w:p>
      <w:pPr>
        <w:pStyle w:val="BodyText"/>
        <w:spacing w:before="7"/>
        <w:rPr>
          <w:rFonts w:ascii="Cambria"/>
          <w:sz w:val="11"/>
        </w:rPr>
      </w:pPr>
    </w:p>
    <w:p>
      <w:pPr>
        <w:pStyle w:val="Heading3"/>
        <w:spacing w:before="87"/>
      </w:pPr>
      <w:r>
        <w:rPr>
          <w:color w:val="FFFFFF"/>
          <w:w w:val="105"/>
        </w:rPr>
        <w:t>Conservation Area Appraisal</w:t>
      </w:r>
    </w:p>
    <w:p>
      <w:pPr>
        <w:pStyle w:val="BodyText"/>
      </w:pPr>
    </w:p>
    <w:p>
      <w:pPr>
        <w:pStyle w:val="BodyText"/>
      </w:pPr>
    </w:p>
    <w:p>
      <w:pPr>
        <w:pStyle w:val="BodyText"/>
      </w:pPr>
    </w:p>
    <w:p>
      <w:pPr>
        <w:pStyle w:val="BodyText"/>
      </w:pPr>
    </w:p>
    <w:p>
      <w:pPr>
        <w:pStyle w:val="BodyText"/>
      </w:pPr>
    </w:p>
    <w:p>
      <w:pPr>
        <w:pStyle w:val="BodyText"/>
        <w:spacing w:before="11"/>
        <w:rPr>
          <w:sz w:val="23"/>
        </w:rPr>
      </w:pPr>
    </w:p>
    <w:p>
      <w:pPr>
        <w:spacing w:before="94"/>
        <w:ind w:left="4275" w:right="0" w:firstLine="0"/>
        <w:jc w:val="left"/>
        <w:rPr>
          <w:b/>
          <w:sz w:val="32"/>
        </w:rPr>
      </w:pPr>
      <w:r>
        <w:rPr>
          <w:b/>
          <w:w w:val="110"/>
          <w:sz w:val="32"/>
        </w:rPr>
        <w:t>Introduction</w:t>
      </w:r>
    </w:p>
    <w:p>
      <w:pPr>
        <w:pStyle w:val="BodyText"/>
        <w:spacing w:line="271" w:lineRule="auto" w:before="142"/>
        <w:ind w:left="4275" w:right="1038"/>
      </w:pPr>
      <w:r>
        <w:rPr>
          <w:spacing w:val="-5"/>
          <w:w w:val="105"/>
        </w:rPr>
        <w:t>Basingstoke </w:t>
      </w:r>
      <w:r>
        <w:rPr>
          <w:spacing w:val="-4"/>
          <w:w w:val="105"/>
        </w:rPr>
        <w:t>and Deane </w:t>
      </w:r>
      <w:r>
        <w:rPr>
          <w:spacing w:val="-5"/>
          <w:w w:val="105"/>
        </w:rPr>
        <w:t>Borough Council designated </w:t>
      </w:r>
      <w:r>
        <w:rPr>
          <w:spacing w:val="-4"/>
          <w:w w:val="105"/>
        </w:rPr>
        <w:t>the </w:t>
      </w:r>
      <w:r>
        <w:rPr>
          <w:spacing w:val="-5"/>
          <w:w w:val="105"/>
        </w:rPr>
        <w:t>Church </w:t>
      </w:r>
      <w:r>
        <w:rPr>
          <w:spacing w:val="-4"/>
          <w:w w:val="105"/>
        </w:rPr>
        <w:t>Road, </w:t>
      </w:r>
      <w:r>
        <w:rPr>
          <w:spacing w:val="-8"/>
          <w:w w:val="105"/>
        </w:rPr>
        <w:t>Tadley </w:t>
      </w:r>
      <w:r>
        <w:rPr>
          <w:spacing w:val="-5"/>
          <w:w w:val="105"/>
        </w:rPr>
        <w:t>Conservation Area </w:t>
      </w:r>
      <w:r>
        <w:rPr>
          <w:spacing w:val="-3"/>
          <w:w w:val="105"/>
        </w:rPr>
        <w:t>in </w:t>
      </w:r>
      <w:r>
        <w:rPr>
          <w:spacing w:val="-4"/>
          <w:w w:val="105"/>
        </w:rPr>
        <w:t>1982 </w:t>
      </w:r>
      <w:r>
        <w:rPr>
          <w:spacing w:val="-3"/>
          <w:w w:val="105"/>
        </w:rPr>
        <w:t>in </w:t>
      </w:r>
      <w:r>
        <w:rPr>
          <w:spacing w:val="-5"/>
          <w:w w:val="105"/>
        </w:rPr>
        <w:t>recognition </w:t>
      </w:r>
      <w:r>
        <w:rPr>
          <w:spacing w:val="-3"/>
          <w:w w:val="105"/>
        </w:rPr>
        <w:t>of </w:t>
      </w:r>
      <w:r>
        <w:rPr>
          <w:spacing w:val="-4"/>
          <w:w w:val="105"/>
        </w:rPr>
        <w:t>the </w:t>
      </w:r>
      <w:r>
        <w:rPr>
          <w:spacing w:val="-5"/>
          <w:w w:val="105"/>
        </w:rPr>
        <w:t>special architectural </w:t>
      </w:r>
      <w:r>
        <w:rPr>
          <w:spacing w:val="-4"/>
          <w:w w:val="105"/>
        </w:rPr>
        <w:t>and </w:t>
      </w:r>
      <w:r>
        <w:rPr>
          <w:spacing w:val="-5"/>
          <w:w w:val="105"/>
        </w:rPr>
        <w:t>historic interest </w:t>
      </w:r>
      <w:r>
        <w:rPr>
          <w:spacing w:val="-3"/>
          <w:w w:val="105"/>
        </w:rPr>
        <w:t>of </w:t>
      </w:r>
      <w:r>
        <w:rPr>
          <w:spacing w:val="-4"/>
          <w:w w:val="105"/>
        </w:rPr>
        <w:t>the </w:t>
      </w:r>
      <w:r>
        <w:rPr>
          <w:spacing w:val="-5"/>
          <w:w w:val="105"/>
        </w:rPr>
        <w:t>village.</w:t>
      </w:r>
    </w:p>
    <w:p>
      <w:pPr>
        <w:pStyle w:val="BodyText"/>
        <w:spacing w:before="7"/>
        <w:rPr>
          <w:sz w:val="18"/>
        </w:rPr>
      </w:pPr>
    </w:p>
    <w:p>
      <w:pPr>
        <w:pStyle w:val="BodyText"/>
        <w:spacing w:line="271" w:lineRule="auto"/>
        <w:ind w:left="4275" w:right="1038"/>
      </w:pPr>
      <w:r>
        <w:rPr>
          <w:spacing w:val="-5"/>
          <w:w w:val="105"/>
        </w:rPr>
        <w:t>Having designated </w:t>
      </w:r>
      <w:r>
        <w:rPr>
          <w:spacing w:val="-4"/>
          <w:w w:val="105"/>
        </w:rPr>
        <w:t>the </w:t>
      </w:r>
      <w:r>
        <w:rPr>
          <w:spacing w:val="-5"/>
          <w:w w:val="105"/>
        </w:rPr>
        <w:t>Conservation Area, </w:t>
      </w:r>
      <w:r>
        <w:rPr>
          <w:spacing w:val="-4"/>
          <w:w w:val="105"/>
        </w:rPr>
        <w:t>the Local </w:t>
      </w:r>
      <w:r>
        <w:rPr>
          <w:spacing w:val="-5"/>
          <w:w w:val="105"/>
        </w:rPr>
        <w:t>Authority </w:t>
      </w:r>
      <w:r>
        <w:rPr>
          <w:spacing w:val="-4"/>
          <w:w w:val="105"/>
        </w:rPr>
        <w:t>has </w:t>
      </w:r>
      <w:r>
        <w:rPr>
          <w:w w:val="105"/>
        </w:rPr>
        <w:t>a </w:t>
      </w:r>
      <w:r>
        <w:rPr>
          <w:spacing w:val="-5"/>
          <w:w w:val="105"/>
        </w:rPr>
        <w:t>statutory </w:t>
      </w:r>
      <w:r>
        <w:rPr>
          <w:spacing w:val="-4"/>
          <w:w w:val="105"/>
        </w:rPr>
        <w:t>duty </w:t>
      </w:r>
      <w:r>
        <w:rPr>
          <w:spacing w:val="-3"/>
          <w:w w:val="105"/>
        </w:rPr>
        <w:t>to </w:t>
      </w:r>
      <w:r>
        <w:rPr>
          <w:spacing w:val="-5"/>
          <w:w w:val="105"/>
        </w:rPr>
        <w:t>ensure </w:t>
      </w:r>
      <w:r>
        <w:rPr>
          <w:spacing w:val="-4"/>
          <w:w w:val="105"/>
        </w:rPr>
        <w:t>that those </w:t>
      </w:r>
      <w:r>
        <w:rPr>
          <w:spacing w:val="-5"/>
          <w:w w:val="105"/>
        </w:rPr>
        <w:t>elements </w:t>
      </w:r>
      <w:r>
        <w:rPr>
          <w:spacing w:val="-4"/>
          <w:w w:val="105"/>
        </w:rPr>
        <w:t>that form its </w:t>
      </w:r>
      <w:r>
        <w:rPr>
          <w:spacing w:val="-5"/>
          <w:w w:val="105"/>
        </w:rPr>
        <w:t>particular character </w:t>
      </w:r>
      <w:r>
        <w:rPr>
          <w:spacing w:val="-3"/>
          <w:w w:val="105"/>
        </w:rPr>
        <w:t>or </w:t>
      </w:r>
      <w:r>
        <w:rPr>
          <w:spacing w:val="-5"/>
          <w:w w:val="105"/>
        </w:rPr>
        <w:t>appearance should </w:t>
      </w:r>
      <w:r>
        <w:rPr>
          <w:spacing w:val="-3"/>
          <w:w w:val="105"/>
        </w:rPr>
        <w:t>be </w:t>
      </w:r>
      <w:r>
        <w:rPr>
          <w:spacing w:val="-5"/>
          <w:w w:val="105"/>
        </w:rPr>
        <w:t>preserved </w:t>
      </w:r>
      <w:r>
        <w:rPr>
          <w:spacing w:val="-3"/>
          <w:w w:val="105"/>
        </w:rPr>
        <w:t>or </w:t>
      </w:r>
      <w:r>
        <w:rPr>
          <w:spacing w:val="-5"/>
          <w:w w:val="105"/>
        </w:rPr>
        <w:t>enhanced, especially </w:t>
      </w:r>
      <w:r>
        <w:rPr>
          <w:spacing w:val="-4"/>
          <w:w w:val="105"/>
        </w:rPr>
        <w:t>when </w:t>
      </w:r>
      <w:r>
        <w:rPr>
          <w:spacing w:val="-5"/>
          <w:w w:val="105"/>
        </w:rPr>
        <w:t>considering planning applications.</w:t>
      </w:r>
    </w:p>
    <w:p>
      <w:pPr>
        <w:pStyle w:val="BodyText"/>
        <w:spacing w:before="1"/>
        <w:rPr>
          <w:sz w:val="11"/>
        </w:rPr>
      </w:pPr>
    </w:p>
    <w:p>
      <w:pPr>
        <w:spacing w:after="0"/>
        <w:rPr>
          <w:sz w:val="11"/>
        </w:rPr>
        <w:sectPr>
          <w:pgSz w:w="11910" w:h="16840"/>
          <w:pgMar w:top="0" w:bottom="0" w:left="120" w:right="120"/>
        </w:sectPr>
      </w:pPr>
    </w:p>
    <w:p>
      <w:pPr>
        <w:pStyle w:val="BodyText"/>
        <w:rPr>
          <w:sz w:val="16"/>
        </w:rPr>
      </w:pPr>
    </w:p>
    <w:p>
      <w:pPr>
        <w:pStyle w:val="BodyText"/>
        <w:spacing w:before="1"/>
        <w:rPr>
          <w:sz w:val="14"/>
        </w:rPr>
      </w:pPr>
    </w:p>
    <w:p>
      <w:pPr>
        <w:spacing w:before="0"/>
        <w:ind w:left="0" w:right="0" w:firstLine="0"/>
        <w:jc w:val="right"/>
        <w:rPr>
          <w:b/>
          <w:i/>
          <w:sz w:val="14"/>
        </w:rPr>
      </w:pPr>
      <w:r>
        <w:rPr>
          <w:b/>
          <w:i/>
          <w:w w:val="115"/>
          <w:sz w:val="14"/>
        </w:rPr>
        <w:t>View to Hawley</w:t>
      </w:r>
      <w:r>
        <w:rPr>
          <w:b/>
          <w:i/>
          <w:spacing w:val="-6"/>
          <w:w w:val="115"/>
          <w:sz w:val="14"/>
        </w:rPr>
        <w:t> </w:t>
      </w:r>
      <w:r>
        <w:rPr>
          <w:b/>
          <w:i/>
          <w:w w:val="115"/>
          <w:sz w:val="14"/>
        </w:rPr>
        <w:t>Farmhouse</w:t>
      </w:r>
    </w:p>
    <w:p>
      <w:pPr>
        <w:pStyle w:val="BodyText"/>
        <w:rPr>
          <w:b/>
          <w:i/>
          <w:sz w:val="16"/>
        </w:rPr>
      </w:pPr>
    </w:p>
    <w:p>
      <w:pPr>
        <w:pStyle w:val="BodyText"/>
        <w:rPr>
          <w:b/>
          <w:i/>
          <w:sz w:val="16"/>
        </w:rPr>
      </w:pPr>
    </w:p>
    <w:p>
      <w:pPr>
        <w:pStyle w:val="BodyText"/>
        <w:rPr>
          <w:b/>
          <w:i/>
          <w:sz w:val="16"/>
        </w:rPr>
      </w:pPr>
    </w:p>
    <w:p>
      <w:pPr>
        <w:pStyle w:val="BodyText"/>
        <w:rPr>
          <w:b/>
          <w:i/>
          <w:sz w:val="16"/>
        </w:rPr>
      </w:pPr>
    </w:p>
    <w:p>
      <w:pPr>
        <w:pStyle w:val="BodyText"/>
        <w:rPr>
          <w:b/>
          <w:i/>
          <w:sz w:val="16"/>
        </w:rPr>
      </w:pPr>
    </w:p>
    <w:p>
      <w:pPr>
        <w:pStyle w:val="BodyText"/>
        <w:rPr>
          <w:b/>
          <w:i/>
          <w:sz w:val="16"/>
        </w:rPr>
      </w:pPr>
    </w:p>
    <w:p>
      <w:pPr>
        <w:pStyle w:val="BodyText"/>
        <w:rPr>
          <w:b/>
          <w:i/>
          <w:sz w:val="16"/>
        </w:rPr>
      </w:pPr>
    </w:p>
    <w:p>
      <w:pPr>
        <w:pStyle w:val="BodyText"/>
        <w:rPr>
          <w:b/>
          <w:i/>
          <w:sz w:val="16"/>
        </w:rPr>
      </w:pPr>
    </w:p>
    <w:p>
      <w:pPr>
        <w:pStyle w:val="BodyText"/>
        <w:rPr>
          <w:b/>
          <w:i/>
          <w:sz w:val="16"/>
        </w:rPr>
      </w:pPr>
    </w:p>
    <w:p>
      <w:pPr>
        <w:pStyle w:val="BodyText"/>
        <w:rPr>
          <w:b/>
          <w:i/>
          <w:sz w:val="16"/>
        </w:rPr>
      </w:pPr>
    </w:p>
    <w:p>
      <w:pPr>
        <w:pStyle w:val="BodyText"/>
        <w:rPr>
          <w:b/>
          <w:i/>
          <w:sz w:val="16"/>
        </w:rPr>
      </w:pPr>
    </w:p>
    <w:p>
      <w:pPr>
        <w:pStyle w:val="BodyText"/>
        <w:rPr>
          <w:b/>
          <w:i/>
          <w:sz w:val="16"/>
        </w:rPr>
      </w:pPr>
    </w:p>
    <w:p>
      <w:pPr>
        <w:pStyle w:val="BodyText"/>
        <w:rPr>
          <w:b/>
          <w:i/>
          <w:sz w:val="16"/>
        </w:rPr>
      </w:pPr>
    </w:p>
    <w:p>
      <w:pPr>
        <w:pStyle w:val="BodyText"/>
        <w:rPr>
          <w:b/>
          <w:i/>
          <w:sz w:val="16"/>
        </w:rPr>
      </w:pPr>
    </w:p>
    <w:p>
      <w:pPr>
        <w:pStyle w:val="BodyText"/>
        <w:spacing w:before="6"/>
        <w:rPr>
          <w:b/>
          <w:i/>
          <w:sz w:val="23"/>
        </w:rPr>
      </w:pPr>
    </w:p>
    <w:p>
      <w:pPr>
        <w:spacing w:before="0"/>
        <w:ind w:left="0" w:right="0" w:firstLine="0"/>
        <w:jc w:val="right"/>
        <w:rPr>
          <w:b/>
          <w:i/>
          <w:sz w:val="14"/>
        </w:rPr>
      </w:pPr>
      <w:r>
        <w:rPr>
          <w:b/>
          <w:i/>
          <w:w w:val="115"/>
          <w:sz w:val="14"/>
        </w:rPr>
        <w:t>View into the</w:t>
      </w:r>
      <w:r>
        <w:rPr>
          <w:b/>
          <w:i/>
          <w:spacing w:val="6"/>
          <w:w w:val="115"/>
          <w:sz w:val="14"/>
        </w:rPr>
        <w:t> </w:t>
      </w:r>
      <w:r>
        <w:rPr>
          <w:b/>
          <w:i/>
          <w:w w:val="115"/>
          <w:sz w:val="14"/>
        </w:rPr>
        <w:t>village</w:t>
      </w:r>
    </w:p>
    <w:p>
      <w:pPr>
        <w:pStyle w:val="BodyText"/>
        <w:spacing w:line="271" w:lineRule="auto" w:before="92"/>
        <w:ind w:left="701" w:right="1032"/>
      </w:pPr>
      <w:r>
        <w:rPr/>
        <w:br w:type="column"/>
      </w:r>
      <w:r>
        <w:rPr>
          <w:spacing w:val="-3"/>
          <w:w w:val="105"/>
        </w:rPr>
        <w:t>It is </w:t>
      </w:r>
      <w:r>
        <w:rPr>
          <w:spacing w:val="-6"/>
          <w:w w:val="105"/>
        </w:rPr>
        <w:t>therefore </w:t>
      </w:r>
      <w:r>
        <w:rPr>
          <w:spacing w:val="-5"/>
          <w:w w:val="105"/>
        </w:rPr>
        <w:t>necessary </w:t>
      </w:r>
      <w:r>
        <w:rPr>
          <w:spacing w:val="-3"/>
          <w:w w:val="105"/>
        </w:rPr>
        <w:t>to </w:t>
      </w:r>
      <w:r>
        <w:rPr>
          <w:spacing w:val="-5"/>
          <w:w w:val="105"/>
        </w:rPr>
        <w:t>define </w:t>
      </w:r>
      <w:r>
        <w:rPr>
          <w:spacing w:val="-4"/>
          <w:w w:val="105"/>
        </w:rPr>
        <w:t>and </w:t>
      </w:r>
      <w:r>
        <w:rPr>
          <w:spacing w:val="-5"/>
          <w:w w:val="105"/>
        </w:rPr>
        <w:t>analyse </w:t>
      </w:r>
      <w:r>
        <w:rPr>
          <w:spacing w:val="-4"/>
          <w:w w:val="105"/>
        </w:rPr>
        <w:t>those </w:t>
      </w:r>
      <w:r>
        <w:rPr>
          <w:spacing w:val="-5"/>
          <w:w w:val="105"/>
        </w:rPr>
        <w:t>qualities </w:t>
      </w:r>
      <w:r>
        <w:rPr>
          <w:spacing w:val="-3"/>
          <w:w w:val="105"/>
        </w:rPr>
        <w:t>or </w:t>
      </w:r>
      <w:r>
        <w:rPr>
          <w:spacing w:val="-5"/>
          <w:w w:val="105"/>
        </w:rPr>
        <w:t>elements </w:t>
      </w:r>
      <w:r>
        <w:rPr>
          <w:spacing w:val="-4"/>
          <w:w w:val="105"/>
        </w:rPr>
        <w:t>that </w:t>
      </w:r>
      <w:r>
        <w:rPr>
          <w:spacing w:val="-5"/>
          <w:w w:val="105"/>
        </w:rPr>
        <w:t>contribute </w:t>
      </w:r>
      <w:r>
        <w:rPr>
          <w:spacing w:val="-4"/>
          <w:w w:val="105"/>
        </w:rPr>
        <w:t>to, </w:t>
      </w:r>
      <w:r>
        <w:rPr>
          <w:spacing w:val="-3"/>
          <w:w w:val="105"/>
        </w:rPr>
        <w:t>or </w:t>
      </w:r>
      <w:r>
        <w:rPr>
          <w:spacing w:val="-5"/>
          <w:w w:val="105"/>
        </w:rPr>
        <w:t>detract from, </w:t>
      </w:r>
      <w:r>
        <w:rPr>
          <w:spacing w:val="-4"/>
          <w:w w:val="105"/>
        </w:rPr>
        <w:t>the </w:t>
      </w:r>
      <w:r>
        <w:rPr>
          <w:spacing w:val="-5"/>
          <w:w w:val="105"/>
        </w:rPr>
        <w:t>special interest </w:t>
      </w:r>
      <w:r>
        <w:rPr>
          <w:spacing w:val="-3"/>
          <w:w w:val="105"/>
        </w:rPr>
        <w:t>of </w:t>
      </w:r>
      <w:r>
        <w:rPr>
          <w:spacing w:val="-4"/>
          <w:w w:val="105"/>
        </w:rPr>
        <w:t>the </w:t>
      </w:r>
      <w:r>
        <w:rPr>
          <w:spacing w:val="-5"/>
          <w:w w:val="105"/>
        </w:rPr>
        <w:t>area </w:t>
      </w:r>
      <w:r>
        <w:rPr>
          <w:spacing w:val="-4"/>
          <w:w w:val="105"/>
        </w:rPr>
        <w:t>and </w:t>
      </w:r>
      <w:r>
        <w:rPr>
          <w:spacing w:val="-3"/>
          <w:w w:val="105"/>
        </w:rPr>
        <w:t>to </w:t>
      </w:r>
      <w:r>
        <w:rPr>
          <w:spacing w:val="-5"/>
          <w:w w:val="105"/>
        </w:rPr>
        <w:t>assess </w:t>
      </w:r>
      <w:r>
        <w:rPr>
          <w:spacing w:val="-4"/>
          <w:w w:val="105"/>
        </w:rPr>
        <w:t>how they </w:t>
      </w:r>
      <w:r>
        <w:rPr>
          <w:spacing w:val="-5"/>
          <w:w w:val="105"/>
        </w:rPr>
        <w:t>combine </w:t>
      </w:r>
      <w:r>
        <w:rPr>
          <w:spacing w:val="-3"/>
          <w:w w:val="105"/>
        </w:rPr>
        <w:t>to </w:t>
      </w:r>
      <w:r>
        <w:rPr>
          <w:spacing w:val="-5"/>
          <w:w w:val="105"/>
        </w:rPr>
        <w:t>justify </w:t>
      </w:r>
      <w:r>
        <w:rPr>
          <w:spacing w:val="-4"/>
          <w:w w:val="105"/>
        </w:rPr>
        <w:t>its </w:t>
      </w:r>
      <w:r>
        <w:rPr>
          <w:spacing w:val="-5"/>
          <w:w w:val="105"/>
        </w:rPr>
        <w:t>designation </w:t>
      </w:r>
      <w:r>
        <w:rPr>
          <w:spacing w:val="-3"/>
          <w:w w:val="105"/>
        </w:rPr>
        <w:t>as </w:t>
      </w:r>
      <w:r>
        <w:rPr>
          <w:w w:val="105"/>
        </w:rPr>
        <w:t>a </w:t>
      </w:r>
      <w:r>
        <w:rPr>
          <w:spacing w:val="-5"/>
          <w:w w:val="105"/>
        </w:rPr>
        <w:t>Conservation Area. </w:t>
      </w:r>
      <w:r>
        <w:rPr>
          <w:spacing w:val="-4"/>
          <w:w w:val="105"/>
        </w:rPr>
        <w:t>Such </w:t>
      </w:r>
      <w:r>
        <w:rPr>
          <w:spacing w:val="-5"/>
          <w:w w:val="105"/>
        </w:rPr>
        <w:t>factors </w:t>
      </w:r>
      <w:r>
        <w:rPr>
          <w:spacing w:val="-4"/>
          <w:w w:val="105"/>
        </w:rPr>
        <w:t>can </w:t>
      </w:r>
      <w:r>
        <w:rPr>
          <w:spacing w:val="-5"/>
          <w:w w:val="105"/>
        </w:rPr>
        <w:t>include:</w:t>
      </w:r>
    </w:p>
    <w:p>
      <w:pPr>
        <w:pStyle w:val="BodyText"/>
        <w:spacing w:before="7"/>
        <w:rPr>
          <w:sz w:val="18"/>
        </w:rPr>
      </w:pPr>
    </w:p>
    <w:p>
      <w:pPr>
        <w:pStyle w:val="ListParagraph"/>
        <w:numPr>
          <w:ilvl w:val="0"/>
          <w:numId w:val="1"/>
        </w:numPr>
        <w:tabs>
          <w:tab w:pos="1078" w:val="left" w:leader="none"/>
        </w:tabs>
        <w:spacing w:line="240" w:lineRule="auto" w:before="1" w:after="0"/>
        <w:ind w:left="1077" w:right="0" w:hanging="264"/>
        <w:jc w:val="left"/>
        <w:rPr>
          <w:sz w:val="20"/>
        </w:rPr>
      </w:pPr>
      <w:r>
        <w:rPr>
          <w:spacing w:val="-4"/>
          <w:sz w:val="20"/>
        </w:rPr>
        <w:t>its </w:t>
      </w:r>
      <w:r>
        <w:rPr>
          <w:spacing w:val="-5"/>
          <w:sz w:val="20"/>
        </w:rPr>
        <w:t>historic</w:t>
      </w:r>
      <w:r>
        <w:rPr>
          <w:spacing w:val="14"/>
          <w:sz w:val="20"/>
        </w:rPr>
        <w:t> </w:t>
      </w:r>
      <w:r>
        <w:rPr>
          <w:spacing w:val="-5"/>
          <w:sz w:val="20"/>
        </w:rPr>
        <w:t>development;</w:t>
      </w:r>
    </w:p>
    <w:p>
      <w:pPr>
        <w:pStyle w:val="BodyText"/>
        <w:spacing w:before="2"/>
        <w:rPr>
          <w:sz w:val="21"/>
        </w:rPr>
      </w:pPr>
    </w:p>
    <w:p>
      <w:pPr>
        <w:pStyle w:val="ListParagraph"/>
        <w:numPr>
          <w:ilvl w:val="0"/>
          <w:numId w:val="1"/>
        </w:numPr>
        <w:tabs>
          <w:tab w:pos="1078" w:val="left" w:leader="none"/>
        </w:tabs>
        <w:spacing w:line="271" w:lineRule="auto" w:before="0" w:after="0"/>
        <w:ind w:left="1077" w:right="1328" w:hanging="264"/>
        <w:jc w:val="left"/>
        <w:rPr>
          <w:sz w:val="20"/>
        </w:rPr>
      </w:pPr>
      <w:r>
        <w:rPr>
          <w:spacing w:val="-4"/>
          <w:w w:val="105"/>
          <w:sz w:val="20"/>
        </w:rPr>
        <w:t>the </w:t>
      </w:r>
      <w:r>
        <w:rPr>
          <w:spacing w:val="-5"/>
          <w:w w:val="105"/>
          <w:sz w:val="20"/>
        </w:rPr>
        <w:t>contribution </w:t>
      </w:r>
      <w:r>
        <w:rPr>
          <w:spacing w:val="-3"/>
          <w:w w:val="105"/>
          <w:sz w:val="20"/>
        </w:rPr>
        <w:t>of </w:t>
      </w:r>
      <w:r>
        <w:rPr>
          <w:spacing w:val="-5"/>
          <w:w w:val="105"/>
          <w:sz w:val="20"/>
        </w:rPr>
        <w:t>individual </w:t>
      </w:r>
      <w:r>
        <w:rPr>
          <w:spacing w:val="-3"/>
          <w:w w:val="105"/>
          <w:sz w:val="20"/>
        </w:rPr>
        <w:t>or </w:t>
      </w:r>
      <w:r>
        <w:rPr>
          <w:spacing w:val="-5"/>
          <w:w w:val="105"/>
          <w:sz w:val="20"/>
        </w:rPr>
        <w:t>groups </w:t>
      </w:r>
      <w:r>
        <w:rPr>
          <w:spacing w:val="-3"/>
          <w:w w:val="105"/>
          <w:sz w:val="20"/>
        </w:rPr>
        <w:t>of </w:t>
      </w:r>
      <w:r>
        <w:rPr>
          <w:spacing w:val="-5"/>
          <w:w w:val="105"/>
          <w:sz w:val="20"/>
        </w:rPr>
        <w:t>buildings </w:t>
      </w:r>
      <w:r>
        <w:rPr>
          <w:spacing w:val="-3"/>
          <w:w w:val="105"/>
          <w:sz w:val="20"/>
        </w:rPr>
        <w:t>to </w:t>
      </w:r>
      <w:r>
        <w:rPr>
          <w:spacing w:val="-4"/>
          <w:w w:val="105"/>
          <w:sz w:val="20"/>
        </w:rPr>
        <w:t>the </w:t>
      </w:r>
      <w:r>
        <w:rPr>
          <w:spacing w:val="-5"/>
          <w:w w:val="105"/>
          <w:sz w:val="20"/>
        </w:rPr>
        <w:t>streetscene </w:t>
      </w:r>
      <w:r>
        <w:rPr>
          <w:spacing w:val="-4"/>
          <w:w w:val="105"/>
          <w:sz w:val="20"/>
        </w:rPr>
        <w:t>and the </w:t>
      </w:r>
      <w:r>
        <w:rPr>
          <w:spacing w:val="-5"/>
          <w:w w:val="105"/>
          <w:sz w:val="20"/>
        </w:rPr>
        <w:t>spaces </w:t>
      </w:r>
      <w:r>
        <w:rPr>
          <w:spacing w:val="-4"/>
          <w:w w:val="105"/>
          <w:sz w:val="20"/>
        </w:rPr>
        <w:t>that </w:t>
      </w:r>
      <w:r>
        <w:rPr>
          <w:spacing w:val="-5"/>
          <w:w w:val="105"/>
          <w:sz w:val="20"/>
        </w:rPr>
        <w:t>surround </w:t>
      </w:r>
      <w:r>
        <w:rPr>
          <w:spacing w:val="-4"/>
          <w:w w:val="105"/>
          <w:sz w:val="20"/>
        </w:rPr>
        <w:t>them;</w:t>
      </w:r>
      <w:r>
        <w:rPr>
          <w:spacing w:val="34"/>
          <w:w w:val="105"/>
          <w:sz w:val="20"/>
        </w:rPr>
        <w:t> </w:t>
      </w:r>
      <w:r>
        <w:rPr>
          <w:spacing w:val="-4"/>
          <w:w w:val="105"/>
          <w:sz w:val="20"/>
        </w:rPr>
        <w:t>and</w:t>
      </w:r>
    </w:p>
    <w:p>
      <w:pPr>
        <w:pStyle w:val="BodyText"/>
        <w:spacing w:before="7"/>
        <w:rPr>
          <w:sz w:val="18"/>
        </w:rPr>
      </w:pPr>
    </w:p>
    <w:p>
      <w:pPr>
        <w:pStyle w:val="ListParagraph"/>
        <w:numPr>
          <w:ilvl w:val="0"/>
          <w:numId w:val="1"/>
        </w:numPr>
        <w:tabs>
          <w:tab w:pos="1078" w:val="left" w:leader="none"/>
        </w:tabs>
        <w:spacing w:line="240" w:lineRule="auto" w:before="0" w:after="0"/>
        <w:ind w:left="1077" w:right="0" w:hanging="264"/>
        <w:jc w:val="left"/>
        <w:rPr>
          <w:sz w:val="20"/>
        </w:rPr>
      </w:pPr>
      <w:r>
        <w:rPr>
          <w:spacing w:val="-4"/>
          <w:sz w:val="20"/>
        </w:rPr>
        <w:t>the</w:t>
      </w:r>
      <w:r>
        <w:rPr>
          <w:spacing w:val="9"/>
          <w:sz w:val="20"/>
        </w:rPr>
        <w:t> </w:t>
      </w:r>
      <w:r>
        <w:rPr>
          <w:spacing w:val="-5"/>
          <w:sz w:val="20"/>
        </w:rPr>
        <w:t>relationship</w:t>
      </w:r>
      <w:r>
        <w:rPr>
          <w:spacing w:val="9"/>
          <w:sz w:val="20"/>
        </w:rPr>
        <w:t> </w:t>
      </w:r>
      <w:r>
        <w:rPr>
          <w:spacing w:val="-5"/>
          <w:sz w:val="20"/>
        </w:rPr>
        <w:t>between</w:t>
      </w:r>
      <w:r>
        <w:rPr>
          <w:spacing w:val="9"/>
          <w:sz w:val="20"/>
        </w:rPr>
        <w:t> </w:t>
      </w:r>
      <w:r>
        <w:rPr>
          <w:spacing w:val="-4"/>
          <w:sz w:val="20"/>
        </w:rPr>
        <w:t>the</w:t>
      </w:r>
      <w:r>
        <w:rPr>
          <w:spacing w:val="9"/>
          <w:sz w:val="20"/>
        </w:rPr>
        <w:t> </w:t>
      </w:r>
      <w:r>
        <w:rPr>
          <w:spacing w:val="-4"/>
          <w:sz w:val="20"/>
        </w:rPr>
        <w:t>built</w:t>
      </w:r>
      <w:r>
        <w:rPr>
          <w:spacing w:val="10"/>
          <w:sz w:val="20"/>
        </w:rPr>
        <w:t> </w:t>
      </w:r>
      <w:r>
        <w:rPr>
          <w:spacing w:val="-5"/>
          <w:sz w:val="20"/>
        </w:rPr>
        <w:t>environment</w:t>
      </w:r>
      <w:r>
        <w:rPr>
          <w:spacing w:val="9"/>
          <w:sz w:val="20"/>
        </w:rPr>
        <w:t> </w:t>
      </w:r>
      <w:r>
        <w:rPr>
          <w:spacing w:val="-4"/>
          <w:sz w:val="20"/>
        </w:rPr>
        <w:t>and</w:t>
      </w:r>
      <w:r>
        <w:rPr>
          <w:spacing w:val="9"/>
          <w:sz w:val="20"/>
        </w:rPr>
        <w:t> </w:t>
      </w:r>
      <w:r>
        <w:rPr>
          <w:spacing w:val="-4"/>
          <w:sz w:val="20"/>
        </w:rPr>
        <w:t>the</w:t>
      </w:r>
      <w:r>
        <w:rPr>
          <w:spacing w:val="9"/>
          <w:sz w:val="20"/>
        </w:rPr>
        <w:t> </w:t>
      </w:r>
      <w:r>
        <w:rPr>
          <w:spacing w:val="-5"/>
          <w:sz w:val="20"/>
        </w:rPr>
        <w:t>landscape.</w:t>
      </w:r>
    </w:p>
    <w:p>
      <w:pPr>
        <w:pStyle w:val="BodyText"/>
        <w:spacing w:before="2"/>
        <w:rPr>
          <w:sz w:val="21"/>
        </w:rPr>
      </w:pPr>
    </w:p>
    <w:p>
      <w:pPr>
        <w:pStyle w:val="BodyText"/>
        <w:spacing w:line="271" w:lineRule="auto"/>
        <w:ind w:left="701" w:right="1032"/>
      </w:pPr>
      <w:r>
        <w:rPr>
          <w:spacing w:val="-3"/>
          <w:w w:val="105"/>
        </w:rPr>
        <w:t>They can also </w:t>
      </w:r>
      <w:r>
        <w:rPr>
          <w:spacing w:val="-4"/>
          <w:w w:val="105"/>
        </w:rPr>
        <w:t>include </w:t>
      </w:r>
      <w:r>
        <w:rPr>
          <w:spacing w:val="-3"/>
          <w:w w:val="105"/>
        </w:rPr>
        <w:t>the less </w:t>
      </w:r>
      <w:r>
        <w:rPr>
          <w:spacing w:val="-4"/>
          <w:w w:val="105"/>
        </w:rPr>
        <w:t>tangible senses </w:t>
      </w:r>
      <w:r>
        <w:rPr>
          <w:spacing w:val="-3"/>
          <w:w w:val="105"/>
        </w:rPr>
        <w:t>and </w:t>
      </w:r>
      <w:r>
        <w:rPr>
          <w:spacing w:val="-4"/>
          <w:w w:val="105"/>
        </w:rPr>
        <w:t>experiences, </w:t>
      </w:r>
      <w:r>
        <w:rPr>
          <w:spacing w:val="-3"/>
          <w:w w:val="105"/>
        </w:rPr>
        <w:t>such </w:t>
      </w:r>
      <w:r>
        <w:rPr>
          <w:w w:val="105"/>
        </w:rPr>
        <w:t>as </w:t>
      </w:r>
      <w:r>
        <w:rPr>
          <w:spacing w:val="-4"/>
          <w:w w:val="105"/>
        </w:rPr>
        <w:t>noises </w:t>
      </w:r>
      <w:r>
        <w:rPr>
          <w:spacing w:val="-3"/>
          <w:w w:val="105"/>
        </w:rPr>
        <w:t>and </w:t>
      </w:r>
      <w:r>
        <w:rPr>
          <w:spacing w:val="-4"/>
          <w:w w:val="105"/>
        </w:rPr>
        <w:t>smells, which </w:t>
      </w:r>
      <w:r>
        <w:rPr>
          <w:spacing w:val="-3"/>
          <w:w w:val="105"/>
        </w:rPr>
        <w:t>can play </w:t>
      </w:r>
      <w:r>
        <w:rPr>
          <w:w w:val="105"/>
        </w:rPr>
        <w:t>a </w:t>
      </w:r>
      <w:r>
        <w:rPr>
          <w:spacing w:val="-3"/>
          <w:w w:val="105"/>
        </w:rPr>
        <w:t>key part </w:t>
      </w:r>
      <w:r>
        <w:rPr>
          <w:w w:val="105"/>
        </w:rPr>
        <w:t>in </w:t>
      </w:r>
      <w:r>
        <w:rPr>
          <w:spacing w:val="-4"/>
          <w:w w:val="105"/>
        </w:rPr>
        <w:t>forming </w:t>
      </w:r>
      <w:r>
        <w:rPr>
          <w:spacing w:val="-3"/>
          <w:w w:val="105"/>
        </w:rPr>
        <w:t>the </w:t>
      </w:r>
      <w:r>
        <w:rPr>
          <w:spacing w:val="-4"/>
          <w:w w:val="105"/>
        </w:rPr>
        <w:t>distinctive character </w:t>
      </w:r>
      <w:r>
        <w:rPr>
          <w:w w:val="105"/>
        </w:rPr>
        <w:t>of an </w:t>
      </w:r>
      <w:r>
        <w:rPr>
          <w:spacing w:val="-4"/>
          <w:w w:val="105"/>
        </w:rPr>
        <w:t>area.</w:t>
      </w:r>
    </w:p>
    <w:p>
      <w:pPr>
        <w:pStyle w:val="BodyText"/>
        <w:spacing w:before="8"/>
        <w:rPr>
          <w:sz w:val="18"/>
        </w:rPr>
      </w:pPr>
    </w:p>
    <w:p>
      <w:pPr>
        <w:pStyle w:val="BodyText"/>
        <w:spacing w:line="271" w:lineRule="auto"/>
        <w:ind w:left="701" w:right="1074"/>
      </w:pPr>
      <w:r>
        <w:rPr>
          <w:spacing w:val="-4"/>
          <w:w w:val="105"/>
        </w:rPr>
        <w:t>The </w:t>
      </w:r>
      <w:r>
        <w:rPr>
          <w:spacing w:val="-5"/>
          <w:w w:val="105"/>
        </w:rPr>
        <w:t>Appraisal </w:t>
      </w:r>
      <w:r>
        <w:rPr>
          <w:spacing w:val="-4"/>
          <w:w w:val="105"/>
        </w:rPr>
        <w:t>takes the form </w:t>
      </w:r>
      <w:r>
        <w:rPr>
          <w:spacing w:val="-3"/>
          <w:w w:val="105"/>
        </w:rPr>
        <w:t>of </w:t>
      </w:r>
      <w:r>
        <w:rPr>
          <w:w w:val="105"/>
        </w:rPr>
        <w:t>a </w:t>
      </w:r>
      <w:r>
        <w:rPr>
          <w:spacing w:val="-5"/>
          <w:w w:val="105"/>
        </w:rPr>
        <w:t>written </w:t>
      </w:r>
      <w:r>
        <w:rPr>
          <w:spacing w:val="-4"/>
          <w:w w:val="105"/>
        </w:rPr>
        <w:t>text and </w:t>
      </w:r>
      <w:r>
        <w:rPr>
          <w:spacing w:val="-3"/>
          <w:w w:val="105"/>
        </w:rPr>
        <w:t>an </w:t>
      </w:r>
      <w:r>
        <w:rPr>
          <w:spacing w:val="-5"/>
          <w:w w:val="105"/>
        </w:rPr>
        <w:t>Appraisal </w:t>
      </w:r>
      <w:r>
        <w:rPr>
          <w:spacing w:val="-4"/>
          <w:w w:val="105"/>
        </w:rPr>
        <w:t>plan. </w:t>
      </w:r>
      <w:r>
        <w:rPr>
          <w:spacing w:val="-3"/>
          <w:w w:val="105"/>
        </w:rPr>
        <w:t>In </w:t>
      </w:r>
      <w:r>
        <w:rPr>
          <w:spacing w:val="-4"/>
          <w:w w:val="105"/>
        </w:rPr>
        <w:t>both </w:t>
      </w:r>
      <w:r>
        <w:rPr>
          <w:spacing w:val="-5"/>
          <w:w w:val="105"/>
        </w:rPr>
        <w:t>respects</w:t>
      </w:r>
      <w:r>
        <w:rPr>
          <w:spacing w:val="-9"/>
          <w:w w:val="105"/>
        </w:rPr>
        <w:t> </w:t>
      </w:r>
      <w:r>
        <w:rPr>
          <w:spacing w:val="-4"/>
          <w:w w:val="105"/>
        </w:rPr>
        <w:t>every</w:t>
      </w:r>
      <w:r>
        <w:rPr>
          <w:spacing w:val="-8"/>
          <w:w w:val="105"/>
        </w:rPr>
        <w:t> </w:t>
      </w:r>
      <w:r>
        <w:rPr>
          <w:spacing w:val="-5"/>
          <w:w w:val="105"/>
        </w:rPr>
        <w:t>effort</w:t>
      </w:r>
      <w:r>
        <w:rPr>
          <w:spacing w:val="-9"/>
          <w:w w:val="105"/>
        </w:rPr>
        <w:t> </w:t>
      </w:r>
      <w:r>
        <w:rPr>
          <w:spacing w:val="-4"/>
          <w:w w:val="105"/>
        </w:rPr>
        <w:t>has</w:t>
      </w:r>
      <w:r>
        <w:rPr>
          <w:spacing w:val="-8"/>
          <w:w w:val="105"/>
        </w:rPr>
        <w:t> </w:t>
      </w:r>
      <w:r>
        <w:rPr>
          <w:spacing w:val="-4"/>
          <w:w w:val="105"/>
        </w:rPr>
        <w:t>been</w:t>
      </w:r>
      <w:r>
        <w:rPr>
          <w:spacing w:val="-9"/>
          <w:w w:val="105"/>
        </w:rPr>
        <w:t> </w:t>
      </w:r>
      <w:r>
        <w:rPr>
          <w:spacing w:val="-4"/>
          <w:w w:val="105"/>
        </w:rPr>
        <w:t>made</w:t>
      </w:r>
      <w:r>
        <w:rPr>
          <w:spacing w:val="-8"/>
          <w:w w:val="105"/>
        </w:rPr>
        <w:t> </w:t>
      </w:r>
      <w:r>
        <w:rPr>
          <w:spacing w:val="-3"/>
          <w:w w:val="105"/>
        </w:rPr>
        <w:t>to</w:t>
      </w:r>
      <w:r>
        <w:rPr>
          <w:spacing w:val="-9"/>
          <w:w w:val="105"/>
        </w:rPr>
        <w:t> </w:t>
      </w:r>
      <w:r>
        <w:rPr>
          <w:spacing w:val="-5"/>
          <w:w w:val="105"/>
        </w:rPr>
        <w:t>include</w:t>
      </w:r>
      <w:r>
        <w:rPr>
          <w:spacing w:val="-8"/>
          <w:w w:val="105"/>
        </w:rPr>
        <w:t> </w:t>
      </w:r>
      <w:r>
        <w:rPr>
          <w:spacing w:val="-3"/>
          <w:w w:val="105"/>
        </w:rPr>
        <w:t>or</w:t>
      </w:r>
      <w:r>
        <w:rPr>
          <w:spacing w:val="-9"/>
          <w:w w:val="105"/>
        </w:rPr>
        <w:t> </w:t>
      </w:r>
      <w:r>
        <w:rPr>
          <w:spacing w:val="-5"/>
          <w:w w:val="105"/>
        </w:rPr>
        <w:t>analyse</w:t>
      </w:r>
      <w:r>
        <w:rPr>
          <w:spacing w:val="-8"/>
          <w:w w:val="105"/>
        </w:rPr>
        <w:t> </w:t>
      </w:r>
      <w:r>
        <w:rPr>
          <w:spacing w:val="-4"/>
          <w:w w:val="105"/>
        </w:rPr>
        <w:t>those</w:t>
      </w:r>
      <w:r>
        <w:rPr>
          <w:spacing w:val="-9"/>
          <w:w w:val="105"/>
        </w:rPr>
        <w:t> </w:t>
      </w:r>
      <w:r>
        <w:rPr>
          <w:spacing w:val="-5"/>
          <w:w w:val="105"/>
        </w:rPr>
        <w:t>elements</w:t>
      </w:r>
      <w:r>
        <w:rPr>
          <w:spacing w:val="-8"/>
          <w:w w:val="105"/>
        </w:rPr>
        <w:t> </w:t>
      </w:r>
      <w:r>
        <w:rPr>
          <w:spacing w:val="-4"/>
          <w:w w:val="105"/>
        </w:rPr>
        <w:t>that </w:t>
      </w:r>
      <w:r>
        <w:rPr>
          <w:spacing w:val="-5"/>
          <w:w w:val="105"/>
        </w:rPr>
        <w:t>are </w:t>
      </w:r>
      <w:r>
        <w:rPr>
          <w:spacing w:val="-4"/>
          <w:w w:val="105"/>
        </w:rPr>
        <w:t>key </w:t>
      </w:r>
      <w:r>
        <w:rPr>
          <w:spacing w:val="-3"/>
          <w:w w:val="105"/>
        </w:rPr>
        <w:t>to </w:t>
      </w:r>
      <w:r>
        <w:rPr>
          <w:spacing w:val="-4"/>
          <w:w w:val="105"/>
        </w:rPr>
        <w:t>the </w:t>
      </w:r>
      <w:r>
        <w:rPr>
          <w:spacing w:val="-5"/>
          <w:w w:val="105"/>
        </w:rPr>
        <w:t>special character </w:t>
      </w:r>
      <w:r>
        <w:rPr>
          <w:spacing w:val="-3"/>
          <w:w w:val="105"/>
        </w:rPr>
        <w:t>of </w:t>
      </w:r>
      <w:r>
        <w:rPr>
          <w:spacing w:val="-4"/>
          <w:w w:val="105"/>
        </w:rPr>
        <w:t>the </w:t>
      </w:r>
      <w:r>
        <w:rPr>
          <w:spacing w:val="-5"/>
          <w:w w:val="105"/>
        </w:rPr>
        <w:t>area. Where buildings, structures </w:t>
      </w:r>
      <w:r>
        <w:rPr>
          <w:spacing w:val="-3"/>
          <w:w w:val="105"/>
        </w:rPr>
        <w:t>or </w:t>
      </w:r>
      <w:r>
        <w:rPr>
          <w:spacing w:val="-5"/>
          <w:w w:val="105"/>
        </w:rPr>
        <w:t>features </w:t>
      </w:r>
      <w:r>
        <w:rPr>
          <w:spacing w:val="-4"/>
          <w:w w:val="105"/>
        </w:rPr>
        <w:t>have not been </w:t>
      </w:r>
      <w:r>
        <w:rPr>
          <w:spacing w:val="-5"/>
          <w:w w:val="105"/>
        </w:rPr>
        <w:t>specifically highlighted, </w:t>
      </w:r>
      <w:r>
        <w:rPr>
          <w:spacing w:val="-4"/>
          <w:w w:val="105"/>
        </w:rPr>
        <w:t>this does not mean that they </w:t>
      </w:r>
      <w:r>
        <w:rPr>
          <w:spacing w:val="-5"/>
          <w:w w:val="105"/>
        </w:rPr>
        <w:t>are </w:t>
      </w:r>
      <w:r>
        <w:rPr>
          <w:spacing w:val="-3"/>
          <w:w w:val="105"/>
        </w:rPr>
        <w:t>of no </w:t>
      </w:r>
      <w:r>
        <w:rPr>
          <w:spacing w:val="-5"/>
          <w:w w:val="105"/>
        </w:rPr>
        <w:t>visual </w:t>
      </w:r>
      <w:r>
        <w:rPr>
          <w:spacing w:val="-3"/>
          <w:w w:val="105"/>
        </w:rPr>
        <w:t>or </w:t>
      </w:r>
      <w:r>
        <w:rPr>
          <w:spacing w:val="-5"/>
          <w:w w:val="105"/>
        </w:rPr>
        <w:t>historic </w:t>
      </w:r>
      <w:r>
        <w:rPr>
          <w:spacing w:val="-4"/>
          <w:w w:val="105"/>
        </w:rPr>
        <w:t>value </w:t>
      </w:r>
      <w:r>
        <w:rPr>
          <w:spacing w:val="-3"/>
          <w:w w:val="105"/>
        </w:rPr>
        <w:t>to </w:t>
      </w:r>
      <w:r>
        <w:rPr>
          <w:spacing w:val="-4"/>
          <w:w w:val="105"/>
        </w:rPr>
        <w:t>the </w:t>
      </w:r>
      <w:r>
        <w:rPr>
          <w:spacing w:val="-5"/>
          <w:w w:val="105"/>
        </w:rPr>
        <w:t>Conservation Area. </w:t>
      </w:r>
      <w:r>
        <w:rPr>
          <w:spacing w:val="-4"/>
          <w:w w:val="105"/>
        </w:rPr>
        <w:t>The </w:t>
      </w:r>
      <w:r>
        <w:rPr>
          <w:spacing w:val="-5"/>
          <w:w w:val="105"/>
        </w:rPr>
        <w:t>document </w:t>
      </w:r>
      <w:r>
        <w:rPr>
          <w:spacing w:val="-3"/>
          <w:w w:val="105"/>
        </w:rPr>
        <w:t>is </w:t>
      </w:r>
      <w:r>
        <w:rPr>
          <w:spacing w:val="-5"/>
          <w:w w:val="105"/>
        </w:rPr>
        <w:t>intended </w:t>
      </w:r>
      <w:r>
        <w:rPr>
          <w:spacing w:val="-3"/>
          <w:w w:val="105"/>
        </w:rPr>
        <w:t>to be an </w:t>
      </w:r>
      <w:r>
        <w:rPr>
          <w:spacing w:val="-5"/>
          <w:w w:val="105"/>
        </w:rPr>
        <w:t>overall framework </w:t>
      </w:r>
      <w:r>
        <w:rPr>
          <w:spacing w:val="-4"/>
          <w:w w:val="105"/>
        </w:rPr>
        <w:t>and </w:t>
      </w:r>
      <w:r>
        <w:rPr>
          <w:spacing w:val="-5"/>
          <w:w w:val="105"/>
        </w:rPr>
        <w:t>guide, within </w:t>
      </w:r>
      <w:r>
        <w:rPr>
          <w:spacing w:val="-4"/>
          <w:w w:val="105"/>
        </w:rPr>
        <w:t>which </w:t>
      </w:r>
      <w:r>
        <w:rPr>
          <w:spacing w:val="-5"/>
          <w:w w:val="105"/>
        </w:rPr>
        <w:t>decisions </w:t>
      </w:r>
      <w:r>
        <w:rPr>
          <w:spacing w:val="-4"/>
          <w:w w:val="105"/>
        </w:rPr>
        <w:t>can  </w:t>
      </w:r>
      <w:r>
        <w:rPr>
          <w:spacing w:val="-3"/>
          <w:w w:val="105"/>
        </w:rPr>
        <w:t>be </w:t>
      </w:r>
      <w:r>
        <w:rPr>
          <w:spacing w:val="-4"/>
          <w:w w:val="105"/>
        </w:rPr>
        <w:t>made </w:t>
      </w:r>
      <w:r>
        <w:rPr>
          <w:spacing w:val="-3"/>
          <w:w w:val="105"/>
        </w:rPr>
        <w:t>on </w:t>
      </w:r>
      <w:r>
        <w:rPr>
          <w:w w:val="105"/>
        </w:rPr>
        <w:t>a </w:t>
      </w:r>
      <w:r>
        <w:rPr>
          <w:spacing w:val="-5"/>
          <w:w w:val="105"/>
        </w:rPr>
        <w:t>site-specific</w:t>
      </w:r>
      <w:r>
        <w:rPr>
          <w:spacing w:val="21"/>
          <w:w w:val="105"/>
        </w:rPr>
        <w:t> </w:t>
      </w:r>
      <w:r>
        <w:rPr>
          <w:spacing w:val="-5"/>
          <w:w w:val="105"/>
        </w:rPr>
        <w:t>basis.</w:t>
      </w:r>
    </w:p>
    <w:p>
      <w:pPr>
        <w:pStyle w:val="BodyText"/>
        <w:spacing w:before="8"/>
        <w:rPr>
          <w:sz w:val="18"/>
        </w:rPr>
      </w:pPr>
    </w:p>
    <w:p>
      <w:pPr>
        <w:pStyle w:val="BodyText"/>
        <w:spacing w:line="271" w:lineRule="auto"/>
        <w:ind w:left="701" w:right="1270"/>
      </w:pPr>
      <w:r>
        <w:rPr>
          <w:spacing w:val="-4"/>
          <w:w w:val="105"/>
        </w:rPr>
        <w:t>This </w:t>
      </w:r>
      <w:r>
        <w:rPr>
          <w:spacing w:val="-5"/>
          <w:w w:val="105"/>
        </w:rPr>
        <w:t>Appraisal </w:t>
      </w:r>
      <w:r>
        <w:rPr>
          <w:spacing w:val="-3"/>
          <w:w w:val="105"/>
        </w:rPr>
        <w:t>of </w:t>
      </w:r>
      <w:r>
        <w:rPr>
          <w:spacing w:val="-4"/>
          <w:w w:val="105"/>
        </w:rPr>
        <w:t>the </w:t>
      </w:r>
      <w:r>
        <w:rPr>
          <w:spacing w:val="-5"/>
          <w:w w:val="105"/>
        </w:rPr>
        <w:t>Church </w:t>
      </w:r>
      <w:r>
        <w:rPr>
          <w:spacing w:val="-4"/>
          <w:w w:val="105"/>
        </w:rPr>
        <w:t>Road, </w:t>
      </w:r>
      <w:r>
        <w:rPr>
          <w:spacing w:val="-8"/>
          <w:w w:val="105"/>
        </w:rPr>
        <w:t>Tadley </w:t>
      </w:r>
      <w:r>
        <w:rPr>
          <w:spacing w:val="-5"/>
          <w:w w:val="105"/>
        </w:rPr>
        <w:t>Conservation Area follows </w:t>
      </w:r>
      <w:r>
        <w:rPr>
          <w:spacing w:val="-4"/>
          <w:w w:val="105"/>
        </w:rPr>
        <w:t>its </w:t>
      </w:r>
      <w:r>
        <w:rPr>
          <w:spacing w:val="-5"/>
          <w:w w:val="105"/>
        </w:rPr>
        <w:t>review </w:t>
      </w:r>
      <w:r>
        <w:rPr>
          <w:spacing w:val="-3"/>
          <w:w w:val="105"/>
        </w:rPr>
        <w:t>in </w:t>
      </w:r>
      <w:r>
        <w:rPr>
          <w:spacing w:val="-4"/>
          <w:w w:val="105"/>
        </w:rPr>
        <w:t>2003 and </w:t>
      </w:r>
      <w:r>
        <w:rPr>
          <w:spacing w:val="-5"/>
          <w:w w:val="105"/>
        </w:rPr>
        <w:t>explains </w:t>
      </w:r>
      <w:r>
        <w:rPr>
          <w:spacing w:val="-4"/>
          <w:w w:val="105"/>
        </w:rPr>
        <w:t>what its </w:t>
      </w:r>
      <w:r>
        <w:rPr>
          <w:spacing w:val="-5"/>
          <w:w w:val="105"/>
        </w:rPr>
        <w:t>designation </w:t>
      </w:r>
      <w:r>
        <w:rPr>
          <w:spacing w:val="-4"/>
          <w:w w:val="105"/>
        </w:rPr>
        <w:t>means for those who live and work </w:t>
      </w:r>
      <w:r>
        <w:rPr>
          <w:spacing w:val="-3"/>
          <w:w w:val="105"/>
        </w:rPr>
        <w:t>in </w:t>
      </w:r>
      <w:r>
        <w:rPr>
          <w:spacing w:val="-4"/>
          <w:w w:val="105"/>
        </w:rPr>
        <w:t>the </w:t>
      </w:r>
      <w:r>
        <w:rPr>
          <w:spacing w:val="-5"/>
          <w:w w:val="105"/>
        </w:rPr>
        <w:t>area.</w:t>
      </w:r>
    </w:p>
    <w:p>
      <w:pPr>
        <w:pStyle w:val="BodyText"/>
        <w:spacing w:before="7"/>
        <w:rPr>
          <w:sz w:val="18"/>
        </w:rPr>
      </w:pPr>
    </w:p>
    <w:p>
      <w:pPr>
        <w:pStyle w:val="BodyText"/>
        <w:spacing w:line="271" w:lineRule="auto"/>
        <w:ind w:left="701" w:right="1032"/>
      </w:pPr>
      <w:r>
        <w:rPr>
          <w:spacing w:val="-4"/>
          <w:w w:val="105"/>
        </w:rPr>
        <w:t>This </w:t>
      </w:r>
      <w:r>
        <w:rPr>
          <w:spacing w:val="-5"/>
          <w:w w:val="105"/>
        </w:rPr>
        <w:t>document </w:t>
      </w:r>
      <w:r>
        <w:rPr>
          <w:spacing w:val="-4"/>
          <w:w w:val="105"/>
        </w:rPr>
        <w:t>was </w:t>
      </w:r>
      <w:r>
        <w:rPr>
          <w:spacing w:val="-5"/>
          <w:w w:val="105"/>
        </w:rPr>
        <w:t>adopted </w:t>
      </w:r>
      <w:r>
        <w:rPr>
          <w:spacing w:val="-3"/>
          <w:w w:val="105"/>
        </w:rPr>
        <w:t>as </w:t>
      </w:r>
      <w:r>
        <w:rPr>
          <w:spacing w:val="-5"/>
          <w:w w:val="105"/>
        </w:rPr>
        <w:t>Supplementary Planning Guidance </w:t>
      </w:r>
      <w:r>
        <w:rPr>
          <w:spacing w:val="-3"/>
          <w:w w:val="105"/>
        </w:rPr>
        <w:t>by </w:t>
      </w:r>
      <w:r>
        <w:rPr>
          <w:spacing w:val="-4"/>
          <w:w w:val="105"/>
        </w:rPr>
        <w:t>the </w:t>
      </w:r>
      <w:r>
        <w:rPr>
          <w:spacing w:val="-5"/>
          <w:w w:val="105"/>
        </w:rPr>
        <w:t>Borough </w:t>
      </w:r>
      <w:r>
        <w:rPr>
          <w:spacing w:val="-3"/>
          <w:w w:val="105"/>
        </w:rPr>
        <w:t>of </w:t>
      </w:r>
      <w:r>
        <w:rPr>
          <w:spacing w:val="-5"/>
          <w:w w:val="105"/>
        </w:rPr>
        <w:t>Basingstoke </w:t>
      </w:r>
      <w:r>
        <w:rPr>
          <w:spacing w:val="-4"/>
          <w:w w:val="105"/>
        </w:rPr>
        <w:t>and Deane </w:t>
      </w:r>
      <w:r>
        <w:rPr>
          <w:spacing w:val="-3"/>
          <w:w w:val="105"/>
        </w:rPr>
        <w:t>on 17 </w:t>
      </w:r>
      <w:r>
        <w:rPr>
          <w:spacing w:val="-4"/>
          <w:w w:val="105"/>
        </w:rPr>
        <w:t>July 2003 and </w:t>
      </w:r>
      <w:r>
        <w:rPr>
          <w:spacing w:val="-5"/>
          <w:w w:val="105"/>
        </w:rPr>
        <w:t>complements </w:t>
      </w:r>
      <w:r>
        <w:rPr>
          <w:spacing w:val="-4"/>
          <w:w w:val="105"/>
        </w:rPr>
        <w:t>the </w:t>
      </w:r>
      <w:r>
        <w:rPr>
          <w:spacing w:val="-5"/>
          <w:w w:val="105"/>
        </w:rPr>
        <w:t>policies </w:t>
      </w:r>
      <w:r>
        <w:rPr>
          <w:spacing w:val="-3"/>
          <w:w w:val="105"/>
        </w:rPr>
        <w:t>of </w:t>
      </w:r>
      <w:r>
        <w:rPr>
          <w:spacing w:val="-4"/>
          <w:w w:val="105"/>
        </w:rPr>
        <w:t>the </w:t>
      </w:r>
      <w:r>
        <w:rPr>
          <w:spacing w:val="-5"/>
          <w:w w:val="105"/>
        </w:rPr>
        <w:t>Borough </w:t>
      </w:r>
      <w:r>
        <w:rPr>
          <w:spacing w:val="-4"/>
          <w:w w:val="105"/>
        </w:rPr>
        <w:t>Local Plan </w:t>
      </w:r>
      <w:r>
        <w:rPr>
          <w:spacing w:val="-5"/>
          <w:w w:val="105"/>
        </w:rPr>
        <w:t>(review).</w:t>
      </w:r>
    </w:p>
    <w:p>
      <w:pPr>
        <w:pStyle w:val="BodyText"/>
        <w:spacing w:before="7"/>
        <w:rPr>
          <w:sz w:val="18"/>
        </w:rPr>
      </w:pPr>
    </w:p>
    <w:p>
      <w:pPr>
        <w:pStyle w:val="BodyText"/>
        <w:spacing w:line="271" w:lineRule="auto" w:before="1"/>
        <w:ind w:left="701" w:right="1270"/>
      </w:pPr>
      <w:r>
        <w:rPr>
          <w:spacing w:val="-3"/>
        </w:rPr>
        <w:t>It </w:t>
      </w:r>
      <w:r>
        <w:rPr>
          <w:spacing w:val="-4"/>
        </w:rPr>
        <w:t>has been </w:t>
      </w:r>
      <w:r>
        <w:rPr>
          <w:spacing w:val="-5"/>
        </w:rPr>
        <w:t>subject </w:t>
      </w:r>
      <w:r>
        <w:rPr>
          <w:spacing w:val="-3"/>
        </w:rPr>
        <w:t>to </w:t>
      </w:r>
      <w:r>
        <w:rPr>
          <w:spacing w:val="-5"/>
        </w:rPr>
        <w:t>consultation </w:t>
      </w:r>
      <w:r>
        <w:rPr>
          <w:spacing w:val="-4"/>
        </w:rPr>
        <w:t>with </w:t>
      </w:r>
      <w:r>
        <w:rPr>
          <w:spacing w:val="-5"/>
        </w:rPr>
        <w:t>Councillors,  </w:t>
      </w:r>
      <w:r>
        <w:rPr>
          <w:spacing w:val="-4"/>
        </w:rPr>
        <w:t>the  </w:t>
      </w:r>
      <w:r>
        <w:rPr>
          <w:spacing w:val="-10"/>
        </w:rPr>
        <w:t>Town  </w:t>
      </w:r>
      <w:r>
        <w:rPr>
          <w:spacing w:val="-5"/>
        </w:rPr>
        <w:t>Council  </w:t>
      </w:r>
      <w:r>
        <w:rPr>
          <w:spacing w:val="-4"/>
        </w:rPr>
        <w:t>and local </w:t>
      </w:r>
      <w:r>
        <w:rPr>
          <w:spacing w:val="-5"/>
        </w:rPr>
        <w:t>amenity  groups.  </w:t>
      </w:r>
      <w:r>
        <w:rPr/>
        <w:t>A  </w:t>
      </w:r>
      <w:r>
        <w:rPr>
          <w:spacing w:val="-4"/>
        </w:rPr>
        <w:t>full  list  </w:t>
      </w:r>
      <w:r>
        <w:rPr>
          <w:spacing w:val="-3"/>
        </w:rPr>
        <w:t>of  </w:t>
      </w:r>
      <w:r>
        <w:rPr>
          <w:spacing w:val="-5"/>
        </w:rPr>
        <w:t>consultees,  copies  </w:t>
      </w:r>
      <w:r>
        <w:rPr>
          <w:spacing w:val="-3"/>
        </w:rPr>
        <w:t>of  </w:t>
      </w:r>
      <w:r>
        <w:rPr>
          <w:spacing w:val="-4"/>
        </w:rPr>
        <w:t>their  </w:t>
      </w:r>
      <w:r>
        <w:rPr>
          <w:spacing w:val="-5"/>
        </w:rPr>
        <w:t>responses, </w:t>
      </w:r>
      <w:r>
        <w:rPr>
          <w:spacing w:val="-4"/>
        </w:rPr>
        <w:t>and </w:t>
      </w:r>
      <w:r>
        <w:rPr>
          <w:spacing w:val="-5"/>
        </w:rPr>
        <w:t>details </w:t>
      </w:r>
      <w:r>
        <w:rPr>
          <w:spacing w:val="-3"/>
        </w:rPr>
        <w:t>of </w:t>
      </w:r>
      <w:r>
        <w:rPr>
          <w:spacing w:val="-4"/>
        </w:rPr>
        <w:t>the </w:t>
      </w:r>
      <w:r>
        <w:rPr>
          <w:spacing w:val="-7"/>
        </w:rPr>
        <w:t>Council’s </w:t>
      </w:r>
      <w:r>
        <w:rPr>
          <w:spacing w:val="-5"/>
        </w:rPr>
        <w:t>consideration </w:t>
      </w:r>
      <w:r>
        <w:rPr>
          <w:spacing w:val="-3"/>
        </w:rPr>
        <w:t>of </w:t>
      </w:r>
      <w:r>
        <w:rPr>
          <w:spacing w:val="-4"/>
        </w:rPr>
        <w:t>the </w:t>
      </w:r>
      <w:r>
        <w:rPr>
          <w:spacing w:val="-5"/>
        </w:rPr>
        <w:t>issues raised during </w:t>
      </w:r>
      <w:r>
        <w:rPr>
          <w:spacing w:val="-4"/>
        </w:rPr>
        <w:t>the </w:t>
      </w:r>
      <w:r>
        <w:rPr>
          <w:spacing w:val="-5"/>
        </w:rPr>
        <w:t>consultation period are available </w:t>
      </w:r>
      <w:r>
        <w:rPr>
          <w:spacing w:val="-4"/>
        </w:rPr>
        <w:t>for </w:t>
      </w:r>
      <w:r>
        <w:rPr>
          <w:spacing w:val="-5"/>
        </w:rPr>
        <w:t>inspection, </w:t>
      </w:r>
      <w:r>
        <w:rPr>
          <w:spacing w:val="-3"/>
        </w:rPr>
        <w:t>by </w:t>
      </w:r>
      <w:r>
        <w:rPr>
          <w:spacing w:val="-5"/>
        </w:rPr>
        <w:t>appointment, </w:t>
      </w:r>
      <w:r>
        <w:rPr>
          <w:spacing w:val="-3"/>
        </w:rPr>
        <w:t>at </w:t>
      </w:r>
      <w:r>
        <w:rPr>
          <w:spacing w:val="-4"/>
        </w:rPr>
        <w:t>the Civic </w:t>
      </w:r>
      <w:r>
        <w:rPr>
          <w:spacing w:val="-5"/>
        </w:rPr>
        <w:t>Offices, during normal office</w:t>
      </w:r>
      <w:r>
        <w:rPr>
          <w:spacing w:val="2"/>
        </w:rPr>
        <w:t> </w:t>
      </w:r>
      <w:r>
        <w:rPr>
          <w:spacing w:val="-5"/>
        </w:rPr>
        <w:t>hours.</w:t>
      </w:r>
    </w:p>
    <w:p>
      <w:pPr>
        <w:spacing w:after="0" w:line="271" w:lineRule="auto"/>
        <w:sectPr>
          <w:type w:val="continuous"/>
          <w:pgSz w:w="11910" w:h="16840"/>
          <w:pgMar w:top="880" w:bottom="0" w:left="120" w:right="120"/>
          <w:cols w:num="2" w:equalWidth="0">
            <w:col w:w="3534" w:space="40"/>
            <w:col w:w="8096"/>
          </w:cols>
        </w:sectPr>
      </w:pPr>
    </w:p>
    <w:p>
      <w:pPr>
        <w:pStyle w:val="BodyText"/>
      </w:pPr>
      <w:r>
        <w:rPr/>
        <w:pict>
          <v:line style="position:absolute;mso-position-horizontal-relative:page;mso-position-vertical-relative:page;z-index:251660288" from="595.274536pt,.00024pt" to="595.274536pt,841.89001pt" stroked="true" strokeweight=".002086pt" strokecolor="#861d46">
            <v:stroke dashstyle="solid"/>
            <w10:wrap type="none"/>
          </v:line>
        </w:pict>
      </w:r>
      <w:r>
        <w:rPr/>
        <w:pict>
          <v:rect style="position:absolute;margin-left:-.000004pt;margin-top:.00024pt;width:595.273484pt;height:841.88977pt;mso-position-horizontal-relative:page;mso-position-vertical-relative:page;z-index:-252318720" filled="true" fillcolor="#861d46" stroked="false">
            <v:fill type="solid"/>
            <w10:wrap type="none"/>
          </v:rect>
        </w:pict>
      </w:r>
      <w:r>
        <w:rPr/>
        <w:pict>
          <v:group style="position:absolute;margin-left:11.33856pt;margin-top:42.519924pt;width:584.2pt;height:756.85pt;mso-position-horizontal-relative:page;mso-position-vertical-relative:page;z-index:-252317696" coordorigin="227,850" coordsize="11684,15137">
            <v:shape style="position:absolute;left:231;top:855;width:11674;height:15127" coordorigin="232,855" coordsize="11674,15127" path="m11906,15982l515,15982,351,15938,267,15841,236,15743,232,15699,232,1139,276,975,374,891,471,860,515,855,11906,855,11906,15982xe" filled="true" fillcolor="#ffffff" stroked="false">
              <v:path arrowok="t"/>
              <v:fill type="solid"/>
            </v:shape>
            <v:shape style="position:absolute;left:-11674;top:9274;width:11674;height:15127" coordorigin="-11674,9274" coordsize="11674,15127" path="m515,855l471,860,374,891,276,975,232,1139,232,3414,232,8419,232,13424,232,15699,236,15743,267,15841,351,15938,515,15982,4075,15982,11906,15982m11906,855l4075,855,515,855e" filled="false" stroked="true" strokeweight=".5pt" strokecolor="#000000">
              <v:path arrowok="t"/>
              <v:stroke dashstyle="solid"/>
            </v:shape>
            <v:shape style="position:absolute;left:566;top:2821;width:3378;height:2552" type="#_x0000_t75" stroked="false">
              <v:imagedata r:id="rId7" o:title=""/>
            </v:shape>
            <v:shape style="position:absolute;left:566;top:5979;width:3378;height:2552" type="#_x0000_t75" stroked="false">
              <v:imagedata r:id="rId8" o:title=""/>
            </v:shape>
            <w10:wrap type="none"/>
          </v:group>
        </w:pict>
      </w:r>
    </w:p>
    <w:p>
      <w:pPr>
        <w:pStyle w:val="BodyText"/>
      </w:pPr>
    </w:p>
    <w:p>
      <w:pPr>
        <w:pStyle w:val="BodyText"/>
      </w:pPr>
    </w:p>
    <w:p>
      <w:pPr>
        <w:pStyle w:val="BodyText"/>
      </w:pPr>
    </w:p>
    <w:p>
      <w:pPr>
        <w:tabs>
          <w:tab w:pos="560" w:val="left" w:leader="none"/>
        </w:tabs>
        <w:spacing w:before="258"/>
        <w:ind w:left="106" w:right="0" w:firstLine="0"/>
        <w:jc w:val="left"/>
        <w:rPr>
          <w:b/>
          <w:sz w:val="32"/>
        </w:rPr>
      </w:pPr>
      <w:r>
        <w:rPr>
          <w:color w:val="FFFFFF"/>
          <w:w w:val="110"/>
          <w:position w:val="2"/>
          <w:sz w:val="24"/>
        </w:rPr>
        <w:t>2</w:t>
        <w:tab/>
      </w:r>
      <w:r>
        <w:rPr>
          <w:b/>
          <w:color w:val="FFFFFF"/>
          <w:w w:val="110"/>
          <w:sz w:val="32"/>
        </w:rPr>
        <w:t>Church Road,</w:t>
      </w:r>
      <w:r>
        <w:rPr>
          <w:b/>
          <w:color w:val="FFFFFF"/>
          <w:spacing w:val="36"/>
          <w:w w:val="110"/>
          <w:sz w:val="32"/>
        </w:rPr>
        <w:t> </w:t>
      </w:r>
      <w:r>
        <w:rPr>
          <w:b/>
          <w:color w:val="FFFFFF"/>
          <w:spacing w:val="-6"/>
          <w:w w:val="110"/>
          <w:sz w:val="32"/>
        </w:rPr>
        <w:t>Tadley</w:t>
      </w:r>
    </w:p>
    <w:p>
      <w:pPr>
        <w:spacing w:after="0"/>
        <w:jc w:val="left"/>
        <w:rPr>
          <w:sz w:val="32"/>
        </w:rPr>
        <w:sectPr>
          <w:type w:val="continuous"/>
          <w:pgSz w:w="11910" w:h="16840"/>
          <w:pgMar w:top="880" w:bottom="0" w:left="120" w:right="120"/>
        </w:sectPr>
      </w:pPr>
    </w:p>
    <w:p>
      <w:pPr>
        <w:pStyle w:val="Heading3"/>
        <w:ind w:left="7050"/>
      </w:pPr>
      <w:r>
        <w:rPr>
          <w:color w:val="FFFFFF"/>
          <w:w w:val="105"/>
        </w:rPr>
        <w:t>Conservation Area Appraisal</w:t>
      </w:r>
    </w:p>
    <w:p>
      <w:pPr>
        <w:pStyle w:val="BodyText"/>
      </w:pPr>
    </w:p>
    <w:p>
      <w:pPr>
        <w:pStyle w:val="BodyText"/>
      </w:pPr>
    </w:p>
    <w:p>
      <w:pPr>
        <w:pStyle w:val="BodyText"/>
      </w:pPr>
    </w:p>
    <w:p>
      <w:pPr>
        <w:pStyle w:val="BodyText"/>
      </w:pPr>
    </w:p>
    <w:p>
      <w:pPr>
        <w:pStyle w:val="BodyText"/>
      </w:pPr>
    </w:p>
    <w:p>
      <w:pPr>
        <w:pStyle w:val="BodyText"/>
        <w:spacing w:before="11"/>
        <w:rPr>
          <w:sz w:val="23"/>
        </w:rPr>
      </w:pPr>
    </w:p>
    <w:p>
      <w:pPr>
        <w:spacing w:before="94"/>
        <w:ind w:left="1013" w:right="0" w:firstLine="0"/>
        <w:jc w:val="left"/>
        <w:rPr>
          <w:b/>
          <w:sz w:val="32"/>
        </w:rPr>
      </w:pPr>
      <w:r>
        <w:rPr>
          <w:b/>
          <w:w w:val="115"/>
          <w:sz w:val="32"/>
        </w:rPr>
        <w:t>Location and Population</w:t>
      </w:r>
    </w:p>
    <w:p>
      <w:pPr>
        <w:pStyle w:val="BodyText"/>
        <w:spacing w:line="271" w:lineRule="auto" w:before="142"/>
        <w:ind w:left="1013" w:right="4666"/>
      </w:pPr>
      <w:r>
        <w:rPr/>
        <w:t>The main settlement of </w:t>
      </w:r>
      <w:r>
        <w:rPr>
          <w:spacing w:val="-4"/>
        </w:rPr>
        <w:t>Tadley </w:t>
      </w:r>
      <w:r>
        <w:rPr/>
        <w:t>is located in the north of Hampshire, approximately six miles north-west of Basingstoke. The main A340 road runs north/south through the settlement, and to the east  is  Pamber Forest. The Church  Road  Conservation  Area  is  located  approximately one third of a mile to the west of the main settlement. It extends from    the medieval church of St Peter at its southern end, to New Road (approximately</w:t>
      </w:r>
      <w:r>
        <w:rPr>
          <w:spacing w:val="16"/>
        </w:rPr>
        <w:t> </w:t>
      </w:r>
      <w:r>
        <w:rPr/>
        <w:t>one</w:t>
      </w:r>
      <w:r>
        <w:rPr>
          <w:spacing w:val="16"/>
        </w:rPr>
        <w:t> </w:t>
      </w:r>
      <w:r>
        <w:rPr/>
        <w:t>mile</w:t>
      </w:r>
      <w:r>
        <w:rPr>
          <w:spacing w:val="16"/>
        </w:rPr>
        <w:t> </w:t>
      </w:r>
      <w:r>
        <w:rPr/>
        <w:t>to</w:t>
      </w:r>
      <w:r>
        <w:rPr>
          <w:spacing w:val="16"/>
        </w:rPr>
        <w:t> </w:t>
      </w:r>
      <w:r>
        <w:rPr/>
        <w:t>the</w:t>
      </w:r>
      <w:r>
        <w:rPr>
          <w:spacing w:val="16"/>
        </w:rPr>
        <w:t> </w:t>
      </w:r>
      <w:r>
        <w:rPr/>
        <w:t>north).</w:t>
      </w:r>
    </w:p>
    <w:p>
      <w:pPr>
        <w:pStyle w:val="BodyText"/>
        <w:spacing w:before="1"/>
        <w:rPr>
          <w:sz w:val="11"/>
        </w:rPr>
      </w:pPr>
    </w:p>
    <w:p>
      <w:pPr>
        <w:spacing w:after="0"/>
        <w:rPr>
          <w:sz w:val="11"/>
        </w:rPr>
        <w:sectPr>
          <w:pgSz w:w="11910" w:h="16840"/>
          <w:pgMar w:top="160" w:bottom="0" w:left="120" w:right="120"/>
        </w:sectPr>
      </w:pPr>
    </w:p>
    <w:p>
      <w:pPr>
        <w:pStyle w:val="BodyText"/>
        <w:spacing w:line="271" w:lineRule="auto" w:before="92"/>
        <w:ind w:left="1013"/>
      </w:pPr>
      <w:r>
        <w:rPr>
          <w:w w:val="105"/>
        </w:rPr>
        <w:t>The population of the Conservation Area in 1998 was approximately 36 (projection based on the Hampshire County Council Planning Department Small Area Population Forecasts).</w:t>
      </w:r>
    </w:p>
    <w:p>
      <w:pPr>
        <w:pStyle w:val="BodyText"/>
        <w:rPr>
          <w:sz w:val="22"/>
        </w:rPr>
      </w:pPr>
    </w:p>
    <w:p>
      <w:pPr>
        <w:pStyle w:val="Heading2"/>
        <w:spacing w:before="144"/>
        <w:ind w:left="1013"/>
      </w:pPr>
      <w:r>
        <w:rPr>
          <w:w w:val="110"/>
        </w:rPr>
        <w:t>Historic Development</w:t>
      </w:r>
    </w:p>
    <w:p>
      <w:pPr>
        <w:pStyle w:val="Heading4"/>
        <w:ind w:left="1013"/>
      </w:pPr>
      <w:r>
        <w:rPr>
          <w:w w:val="115"/>
        </w:rPr>
        <w:t>Settlement Origins</w:t>
      </w:r>
    </w:p>
    <w:p>
      <w:pPr>
        <w:pStyle w:val="BodyText"/>
        <w:spacing w:line="271" w:lineRule="auto" w:before="140"/>
        <w:ind w:left="1013" w:right="60"/>
      </w:pPr>
      <w:r>
        <w:rPr>
          <w:w w:val="105"/>
        </w:rPr>
        <w:t>The name Tadley has possible origins from several old English words. ‘Tad’ may have meant toads, or could be derived from a personal name. ‘Ley’ is generally interpreted as meaning meadow or pasture.</w:t>
      </w:r>
    </w:p>
    <w:p>
      <w:pPr>
        <w:pStyle w:val="BodyText"/>
        <w:spacing w:before="7"/>
        <w:rPr>
          <w:sz w:val="18"/>
        </w:rPr>
      </w:pPr>
    </w:p>
    <w:p>
      <w:pPr>
        <w:pStyle w:val="BodyText"/>
        <w:spacing w:line="271" w:lineRule="auto"/>
        <w:ind w:left="1013" w:right="88"/>
      </w:pPr>
      <w:r>
        <w:rPr>
          <w:spacing w:val="-4"/>
          <w:w w:val="105"/>
        </w:rPr>
        <w:t>Tadley </w:t>
      </w:r>
      <w:r>
        <w:rPr>
          <w:w w:val="105"/>
        </w:rPr>
        <w:t>(Taddanleage) is first mentioned in a charter dated AD909, granting Bishops Wood to the Bishop of Winchester. </w:t>
      </w:r>
      <w:r>
        <w:rPr>
          <w:spacing w:val="-5"/>
          <w:w w:val="105"/>
        </w:rPr>
        <w:t>Tadley </w:t>
      </w:r>
      <w:r>
        <w:rPr>
          <w:w w:val="105"/>
        </w:rPr>
        <w:t>did have an independent manor of its own, initially called </w:t>
      </w:r>
      <w:r>
        <w:rPr>
          <w:spacing w:val="-7"/>
          <w:w w:val="105"/>
        </w:rPr>
        <w:t>Tadley, </w:t>
      </w:r>
      <w:r>
        <w:rPr>
          <w:w w:val="105"/>
        </w:rPr>
        <w:t>and later named</w:t>
      </w:r>
      <w:r>
        <w:rPr>
          <w:spacing w:val="-21"/>
          <w:w w:val="105"/>
        </w:rPr>
        <w:t> </w:t>
      </w:r>
      <w:r>
        <w:rPr>
          <w:w w:val="105"/>
        </w:rPr>
        <w:t>the manor of Withford or Wyeford. In 1166 the manor was the property of William Hotot. In 1305 it passed to the de la More family and, in 1496, the Ludlow family inherited the manor through marriage. Henry Ludlow was the Lord of the Manor in 1625. He is said to have pulled down, or destroyed, the original village of </w:t>
      </w:r>
      <w:r>
        <w:rPr>
          <w:spacing w:val="-5"/>
          <w:w w:val="105"/>
        </w:rPr>
        <w:t>Tadley  </w:t>
      </w:r>
      <w:r>
        <w:rPr>
          <w:w w:val="105"/>
        </w:rPr>
        <w:t>which may have been located    in the vicinity of St </w:t>
      </w:r>
      <w:r>
        <w:rPr>
          <w:spacing w:val="-5"/>
          <w:w w:val="105"/>
        </w:rPr>
        <w:t>Peter’s </w:t>
      </w:r>
      <w:r>
        <w:rPr>
          <w:w w:val="105"/>
        </w:rPr>
        <w:t>Church, forcing the villagers to move to the present site of ‘Old</w:t>
      </w:r>
      <w:r>
        <w:rPr>
          <w:spacing w:val="39"/>
          <w:w w:val="105"/>
        </w:rPr>
        <w:t> </w:t>
      </w:r>
      <w:r>
        <w:rPr>
          <w:spacing w:val="-4"/>
          <w:w w:val="105"/>
        </w:rPr>
        <w:t>Tadley’.</w:t>
      </w:r>
    </w:p>
    <w:p>
      <w:pPr>
        <w:pStyle w:val="BodyText"/>
        <w:spacing w:before="9"/>
        <w:rPr>
          <w:sz w:val="18"/>
        </w:rPr>
      </w:pPr>
    </w:p>
    <w:p>
      <w:pPr>
        <w:pStyle w:val="BodyText"/>
        <w:spacing w:line="271" w:lineRule="auto"/>
        <w:ind w:left="1013" w:right="293"/>
      </w:pPr>
      <w:r>
        <w:rPr/>
        <w:t>Another theory for the relocation of the village at this time was the resurgence of the Black Death in this area of </w:t>
      </w:r>
      <w:r>
        <w:rPr>
          <w:spacing w:val="-4"/>
        </w:rPr>
        <w:t>country.  </w:t>
      </w:r>
      <w:r>
        <w:rPr/>
        <w:t>The establishment   of The Old Meeting House, and the increasing support for the non- conformist religions, drawing villagers away from the traditional area of settlement, may also have been responsible. After the death of Henry Ludlow in 1639, the history of  the  manor  is  uncertain.  By  the  end  of the 17th century it had passed into the hands of the Wither </w:t>
      </w:r>
      <w:r>
        <w:rPr>
          <w:spacing w:val="-4"/>
        </w:rPr>
        <w:t>family, </w:t>
      </w:r>
      <w:r>
        <w:rPr/>
        <w:t>who retained the property for some</w:t>
      </w:r>
      <w:r>
        <w:rPr>
          <w:spacing w:val="22"/>
        </w:rPr>
        <w:t> </w:t>
      </w:r>
      <w:r>
        <w:rPr/>
        <w:t>time.</w:t>
      </w:r>
    </w:p>
    <w:p>
      <w:pPr>
        <w:pStyle w:val="Heading4"/>
        <w:spacing w:before="152"/>
        <w:ind w:left="1013"/>
      </w:pPr>
      <w:r>
        <w:rPr>
          <w:w w:val="110"/>
        </w:rPr>
        <w:t>Settlement Development</w:t>
      </w:r>
    </w:p>
    <w:p>
      <w:pPr>
        <w:pStyle w:val="BodyText"/>
        <w:spacing w:line="271" w:lineRule="auto" w:before="140"/>
        <w:ind w:left="1013"/>
      </w:pPr>
      <w:r>
        <w:rPr>
          <w:w w:val="105"/>
        </w:rPr>
        <w:t>Although the north of Tadley was primarily healthland and commonland, the area of Church Road, and west and south of this, was and still is primarily agricultural.</w:t>
      </w:r>
    </w:p>
    <w:p>
      <w:pPr>
        <w:pStyle w:val="BodyText"/>
        <w:spacing w:before="7"/>
        <w:rPr>
          <w:sz w:val="18"/>
        </w:rPr>
      </w:pPr>
    </w:p>
    <w:p>
      <w:pPr>
        <w:pStyle w:val="BodyText"/>
        <w:spacing w:line="271" w:lineRule="auto"/>
        <w:ind w:left="1013" w:right="249"/>
      </w:pPr>
      <w:r>
        <w:rPr>
          <w:w w:val="105"/>
        </w:rPr>
        <w:t>Until World </w:t>
      </w:r>
      <w:r>
        <w:rPr>
          <w:spacing w:val="-3"/>
          <w:w w:val="105"/>
        </w:rPr>
        <w:t>War </w:t>
      </w:r>
      <w:r>
        <w:rPr>
          <w:w w:val="105"/>
        </w:rPr>
        <w:t>II, </w:t>
      </w:r>
      <w:r>
        <w:rPr>
          <w:spacing w:val="-4"/>
          <w:w w:val="105"/>
        </w:rPr>
        <w:t>Tadley  </w:t>
      </w:r>
      <w:r>
        <w:rPr>
          <w:w w:val="105"/>
        </w:rPr>
        <w:t>comprised the area of settlement covered  by the </w:t>
      </w:r>
      <w:r>
        <w:rPr>
          <w:spacing w:val="-4"/>
          <w:w w:val="105"/>
        </w:rPr>
        <w:t>Tadley </w:t>
      </w:r>
      <w:r>
        <w:rPr>
          <w:w w:val="105"/>
        </w:rPr>
        <w:t>Conservation Area. </w:t>
      </w:r>
      <w:r>
        <w:rPr>
          <w:spacing w:val="-3"/>
          <w:w w:val="105"/>
        </w:rPr>
        <w:t>However, </w:t>
      </w:r>
      <w:r>
        <w:rPr>
          <w:w w:val="105"/>
        </w:rPr>
        <w:t>the development of the Aldermaston Airfield, during the </w:t>
      </w:r>
      <w:r>
        <w:rPr>
          <w:spacing w:val="-5"/>
          <w:w w:val="105"/>
        </w:rPr>
        <w:t>war,</w:t>
      </w:r>
      <w:r>
        <w:rPr>
          <w:spacing w:val="15"/>
          <w:w w:val="105"/>
        </w:rPr>
        <w:t> </w:t>
      </w:r>
      <w:r>
        <w:rPr>
          <w:w w:val="105"/>
        </w:rPr>
        <w:t>and the subsequent arrival of the</w:t>
      </w:r>
    </w:p>
    <w:p>
      <w:pPr>
        <w:pStyle w:val="BodyText"/>
        <w:rPr>
          <w:sz w:val="16"/>
        </w:rPr>
      </w:pPr>
      <w:r>
        <w:rPr/>
        <w:br w:type="column"/>
      </w:r>
      <w:r>
        <w:rPr>
          <w:sz w:val="16"/>
        </w:rPr>
      </w:r>
    </w:p>
    <w:p>
      <w:pPr>
        <w:pStyle w:val="BodyText"/>
        <w:rPr>
          <w:sz w:val="16"/>
        </w:rPr>
      </w:pPr>
    </w:p>
    <w:p>
      <w:pPr>
        <w:pStyle w:val="BodyText"/>
        <w:spacing w:before="8"/>
        <w:rPr>
          <w:sz w:val="16"/>
        </w:rPr>
      </w:pPr>
    </w:p>
    <w:p>
      <w:pPr>
        <w:spacing w:before="0"/>
        <w:ind w:left="735" w:right="0" w:firstLine="0"/>
        <w:jc w:val="left"/>
        <w:rPr>
          <w:b/>
          <w:i/>
          <w:sz w:val="14"/>
        </w:rPr>
      </w:pPr>
      <w:r>
        <w:rPr>
          <w:b/>
          <w:i/>
          <w:w w:val="115"/>
          <w:sz w:val="14"/>
        </w:rPr>
        <w:t>Garden Cottage</w:t>
      </w:r>
    </w:p>
    <w:p>
      <w:pPr>
        <w:spacing w:after="0"/>
        <w:jc w:val="left"/>
        <w:rPr>
          <w:sz w:val="14"/>
        </w:rPr>
        <w:sectPr>
          <w:type w:val="continuous"/>
          <w:pgSz w:w="11910" w:h="16840"/>
          <w:pgMar w:top="880" w:bottom="0" w:left="120" w:right="120"/>
          <w:cols w:num="2" w:equalWidth="0">
            <w:col w:w="7342" w:space="40"/>
            <w:col w:w="4288"/>
          </w:cols>
        </w:sectPr>
      </w:pPr>
    </w:p>
    <w:p>
      <w:pPr>
        <w:pStyle w:val="BodyText"/>
        <w:rPr>
          <w:b/>
          <w:i/>
        </w:rPr>
      </w:pPr>
      <w:r>
        <w:rPr/>
        <w:pict>
          <v:rect style="position:absolute;margin-left:0pt;margin-top:.00024pt;width:595.27557pt;height:841.88977pt;mso-position-horizontal-relative:page;mso-position-vertical-relative:page;z-index:-252316672" filled="true" fillcolor="#861d46" stroked="false">
            <v:fill type="solid"/>
            <w10:wrap type="none"/>
          </v:rect>
        </w:pict>
      </w:r>
      <w:r>
        <w:rPr/>
        <w:pict>
          <v:group style="position:absolute;margin-left:-.25pt;margin-top:42.519924pt;width:584.2pt;height:756.85pt;mso-position-horizontal-relative:page;mso-position-vertical-relative:page;z-index:-252315648" coordorigin="-5,850" coordsize="11684,15137">
            <v:shape style="position:absolute;left:0;top:855;width:11674;height:15127" coordorigin="0,855" coordsize="11674,15127" path="m11390,15982l0,15982,0,855,11390,855,11554,900,11638,997,11669,1095,11674,1139,11674,15699,11629,15863,11532,15947,11435,15978,11390,15982xe" filled="true" fillcolor="#ffffff" stroked="false">
              <v:path arrowok="t"/>
              <v:fill type="solid"/>
            </v:shape>
            <v:shape style="position:absolute;left:0;top:855;width:11674;height:15127" coordorigin="0,855" coordsize="11674,15127" path="m0,15982l7831,15982,11390,15982,11435,15978,11532,15947,11629,15863,11674,15699,11674,13424,11674,8419,11674,3414,11674,1139,11669,1095,11638,997,11554,900,11390,855,7831,855,0,855e" filled="false" stroked="true" strokeweight=".5pt" strokecolor="#000000">
              <v:path arrowok="t"/>
              <v:stroke dashstyle="solid"/>
            </v:shape>
            <v:shape style="position:absolute;left:7954;top:2821;width:3385;height:2552" type="#_x0000_t75" stroked="false">
              <v:imagedata r:id="rId9" o:title=""/>
            </v:shape>
            <w10:wrap type="none"/>
          </v:group>
        </w:pict>
      </w:r>
    </w:p>
    <w:p>
      <w:pPr>
        <w:pStyle w:val="Heading2"/>
        <w:tabs>
          <w:tab w:pos="3444" w:val="left" w:leader="none"/>
        </w:tabs>
        <w:spacing w:before="239"/>
        <w:ind w:right="104"/>
        <w:jc w:val="right"/>
        <w:rPr>
          <w:b w:val="0"/>
          <w:sz w:val="24"/>
        </w:rPr>
      </w:pPr>
      <w:r>
        <w:rPr>
          <w:color w:val="FFFFFF"/>
          <w:w w:val="110"/>
        </w:rPr>
        <w:t>Church</w:t>
      </w:r>
      <w:r>
        <w:rPr>
          <w:color w:val="FFFFFF"/>
          <w:spacing w:val="32"/>
          <w:w w:val="110"/>
        </w:rPr>
        <w:t> </w:t>
      </w:r>
      <w:r>
        <w:rPr>
          <w:color w:val="FFFFFF"/>
          <w:w w:val="110"/>
        </w:rPr>
        <w:t>Road,</w:t>
      </w:r>
      <w:r>
        <w:rPr>
          <w:color w:val="FFFFFF"/>
          <w:spacing w:val="32"/>
          <w:w w:val="110"/>
        </w:rPr>
        <w:t> </w:t>
      </w:r>
      <w:r>
        <w:rPr>
          <w:color w:val="FFFFFF"/>
          <w:spacing w:val="-6"/>
          <w:w w:val="110"/>
        </w:rPr>
        <w:t>Tadley</w:t>
        <w:tab/>
      </w:r>
      <w:r>
        <w:rPr>
          <w:b w:val="0"/>
          <w:color w:val="FFFFFF"/>
          <w:w w:val="105"/>
          <w:position w:val="2"/>
          <w:sz w:val="24"/>
        </w:rPr>
        <w:t>3</w:t>
      </w:r>
    </w:p>
    <w:p>
      <w:pPr>
        <w:spacing w:after="0"/>
        <w:jc w:val="right"/>
        <w:rPr>
          <w:sz w:val="24"/>
        </w:rPr>
        <w:sectPr>
          <w:type w:val="continuous"/>
          <w:pgSz w:w="11910" w:h="16840"/>
          <w:pgMar w:top="880" w:bottom="0" w:left="120" w:right="120"/>
        </w:sectPr>
      </w:pPr>
    </w:p>
    <w:p>
      <w:pPr>
        <w:pStyle w:val="BodyText"/>
        <w:spacing w:before="2"/>
        <w:rPr>
          <w:sz w:val="11"/>
        </w:rPr>
      </w:pPr>
    </w:p>
    <w:p>
      <w:pPr>
        <w:pStyle w:val="Heading3"/>
        <w:spacing w:before="87"/>
      </w:pPr>
      <w:r>
        <w:rPr>
          <w:color w:val="FFFFFF"/>
          <w:w w:val="105"/>
        </w:rPr>
        <w:t>Conservation Area Appraisal</w:t>
      </w:r>
    </w:p>
    <w:p>
      <w:pPr>
        <w:pStyle w:val="BodyText"/>
      </w:pPr>
    </w:p>
    <w:p>
      <w:pPr>
        <w:pStyle w:val="BodyText"/>
      </w:pPr>
    </w:p>
    <w:p>
      <w:pPr>
        <w:pStyle w:val="BodyText"/>
      </w:pPr>
    </w:p>
    <w:p>
      <w:pPr>
        <w:pStyle w:val="BodyText"/>
      </w:pPr>
    </w:p>
    <w:p>
      <w:pPr>
        <w:pStyle w:val="BodyText"/>
      </w:pPr>
    </w:p>
    <w:p>
      <w:pPr>
        <w:pStyle w:val="BodyText"/>
        <w:spacing w:before="1"/>
        <w:rPr>
          <w:sz w:val="26"/>
        </w:rPr>
      </w:pPr>
    </w:p>
    <w:p>
      <w:pPr>
        <w:pStyle w:val="BodyText"/>
        <w:spacing w:line="271" w:lineRule="auto" w:before="92"/>
        <w:ind w:left="4275" w:right="1038"/>
      </w:pPr>
      <w:r>
        <w:rPr>
          <w:w w:val="105"/>
        </w:rPr>
        <w:t>Atomic Weapons Research Establishment (AWRE) in 1950, encouraged development northward, forming the present town.</w:t>
      </w:r>
    </w:p>
    <w:p>
      <w:pPr>
        <w:pStyle w:val="BodyText"/>
        <w:spacing w:before="7"/>
        <w:rPr>
          <w:sz w:val="18"/>
        </w:rPr>
      </w:pPr>
    </w:p>
    <w:p>
      <w:pPr>
        <w:pStyle w:val="BodyText"/>
        <w:spacing w:line="271" w:lineRule="auto"/>
        <w:ind w:left="4275" w:right="1038"/>
      </w:pPr>
      <w:r>
        <w:rPr>
          <w:w w:val="105"/>
        </w:rPr>
        <w:t>Historically, Tadley inhabitants were dependant on the woodland crafts associated with Pamber Forest. Villagers provided coppiced timber for use in the making of hurdles, barrels, baskets, kindling and the renowned besom brooms. Bricks were also made on Tadley Common. The Church Road area was largely dependent on agriculture, and this is still a dominant influence on the appearance of the Conservation Area.</w:t>
      </w:r>
    </w:p>
    <w:p>
      <w:pPr>
        <w:pStyle w:val="BodyText"/>
      </w:pPr>
    </w:p>
    <w:p>
      <w:pPr>
        <w:pStyle w:val="BodyText"/>
        <w:spacing w:before="2"/>
      </w:pPr>
    </w:p>
    <w:p>
      <w:pPr>
        <w:spacing w:after="0"/>
        <w:sectPr>
          <w:pgSz w:w="11910" w:h="16840"/>
          <w:pgMar w:top="0" w:bottom="0" w:left="120" w:right="120"/>
        </w:sectPr>
      </w:pPr>
    </w:p>
    <w:p>
      <w:pPr>
        <w:pStyle w:val="BodyText"/>
      </w:pPr>
    </w:p>
    <w:p>
      <w:pPr>
        <w:spacing w:before="0"/>
        <w:ind w:left="0" w:right="0" w:firstLine="0"/>
        <w:jc w:val="right"/>
        <w:rPr>
          <w:b/>
          <w:i/>
          <w:sz w:val="14"/>
        </w:rPr>
      </w:pPr>
      <w:r>
        <w:rPr>
          <w:b/>
          <w:i/>
          <w:w w:val="115"/>
          <w:sz w:val="14"/>
        </w:rPr>
        <w:t>St Peter’s Church</w:t>
      </w:r>
    </w:p>
    <w:p>
      <w:pPr>
        <w:pStyle w:val="Heading2"/>
        <w:ind w:left="702"/>
      </w:pPr>
      <w:r>
        <w:rPr>
          <w:b w:val="0"/>
        </w:rPr>
        <w:br w:type="column"/>
      </w:r>
      <w:r>
        <w:rPr>
          <w:w w:val="115"/>
        </w:rPr>
        <w:t>An Appraisal of the Conservation</w:t>
      </w:r>
      <w:r>
        <w:rPr>
          <w:spacing w:val="55"/>
          <w:w w:val="115"/>
        </w:rPr>
        <w:t> </w:t>
      </w:r>
      <w:r>
        <w:rPr>
          <w:w w:val="115"/>
        </w:rPr>
        <w:t>Area</w:t>
      </w:r>
    </w:p>
    <w:p>
      <w:pPr>
        <w:pStyle w:val="Heading4"/>
        <w:spacing w:before="70"/>
      </w:pPr>
      <w:r>
        <w:rPr>
          <w:w w:val="115"/>
        </w:rPr>
        <w:t>An Overview</w:t>
      </w:r>
    </w:p>
    <w:p>
      <w:pPr>
        <w:pStyle w:val="BodyText"/>
        <w:spacing w:line="276" w:lineRule="auto" w:before="144"/>
        <w:ind w:left="702" w:right="1078"/>
      </w:pPr>
      <w:r>
        <w:rPr>
          <w:w w:val="105"/>
        </w:rPr>
        <w:t>The Appraisal plan identifies those buildings, views and key features considered essential to the special character or appearance of the Conservation Area. In addition to listed buildings, it also includes unlisted buildings of particular individual or group value, which are indicated on the Appraisal plan as notable. This is not to undermine the value of other unmarked buildings or structures that reflect the historic development of the village without detracting from its special qualities.</w:t>
      </w:r>
    </w:p>
    <w:p>
      <w:pPr>
        <w:pStyle w:val="BodyText"/>
        <w:spacing w:before="1"/>
        <w:rPr>
          <w:sz w:val="18"/>
        </w:rPr>
      </w:pPr>
    </w:p>
    <w:p>
      <w:pPr>
        <w:pStyle w:val="BodyText"/>
        <w:spacing w:line="276" w:lineRule="auto"/>
        <w:ind w:left="702" w:right="1032"/>
      </w:pPr>
      <w:r>
        <w:rPr/>
        <w:t>Individual hedgerows have not been included in the Appraisal plan. However, their contribution to the character of the Conservation Area should not be underestimated, and their significance is implicit in the Appraisal.</w:t>
      </w:r>
    </w:p>
    <w:p>
      <w:pPr>
        <w:pStyle w:val="Heading4"/>
        <w:spacing w:before="149"/>
      </w:pPr>
      <w:r>
        <w:rPr>
          <w:w w:val="110"/>
        </w:rPr>
        <w:t>Built Form</w:t>
      </w:r>
    </w:p>
    <w:p>
      <w:pPr>
        <w:pStyle w:val="BodyText"/>
        <w:spacing w:line="276" w:lineRule="auto" w:before="144"/>
        <w:ind w:left="702" w:right="1270"/>
      </w:pPr>
      <w:r>
        <w:rPr>
          <w:spacing w:val="-4"/>
        </w:rPr>
        <w:t>There are </w:t>
      </w:r>
      <w:r>
        <w:rPr>
          <w:spacing w:val="-3"/>
        </w:rPr>
        <w:t>six  </w:t>
      </w:r>
      <w:r>
        <w:rPr>
          <w:spacing w:val="-4"/>
        </w:rPr>
        <w:t>buildings  located  within  </w:t>
      </w:r>
      <w:r>
        <w:rPr>
          <w:spacing w:val="-3"/>
        </w:rPr>
        <w:t>the  </w:t>
      </w:r>
      <w:r>
        <w:rPr>
          <w:spacing w:val="-4"/>
        </w:rPr>
        <w:t>Conservation  Area  included  </w:t>
      </w:r>
      <w:r>
        <w:rPr/>
        <w:t>in </w:t>
      </w:r>
      <w:r>
        <w:rPr>
          <w:spacing w:val="-3"/>
        </w:rPr>
        <w:t>the </w:t>
      </w:r>
      <w:r>
        <w:rPr>
          <w:spacing w:val="-4"/>
        </w:rPr>
        <w:t>Statutory </w:t>
      </w:r>
      <w:r>
        <w:rPr>
          <w:spacing w:val="-3"/>
        </w:rPr>
        <w:t>List </w:t>
      </w:r>
      <w:r>
        <w:rPr/>
        <w:t>of </w:t>
      </w:r>
      <w:r>
        <w:rPr>
          <w:spacing w:val="-4"/>
        </w:rPr>
        <w:t>Buildings </w:t>
      </w:r>
      <w:r>
        <w:rPr/>
        <w:t>of </w:t>
      </w:r>
      <w:r>
        <w:rPr>
          <w:spacing w:val="-4"/>
        </w:rPr>
        <w:t>Special Architectural </w:t>
      </w:r>
      <w:r>
        <w:rPr/>
        <w:t>or </w:t>
      </w:r>
      <w:r>
        <w:rPr>
          <w:spacing w:val="-4"/>
        </w:rPr>
        <w:t>Historic Interest. </w:t>
      </w:r>
      <w:r>
        <w:rPr/>
        <w:t>St </w:t>
      </w:r>
      <w:r>
        <w:rPr>
          <w:spacing w:val="-7"/>
        </w:rPr>
        <w:t>Peter’s </w:t>
      </w:r>
      <w:r>
        <w:rPr>
          <w:spacing w:val="-4"/>
        </w:rPr>
        <w:t>Church </w:t>
      </w:r>
      <w:r>
        <w:rPr/>
        <w:t>is </w:t>
      </w:r>
      <w:r>
        <w:rPr>
          <w:spacing w:val="-4"/>
        </w:rPr>
        <w:t>Grade </w:t>
      </w:r>
      <w:r>
        <w:rPr/>
        <w:t>I </w:t>
      </w:r>
      <w:r>
        <w:rPr>
          <w:spacing w:val="-4"/>
        </w:rPr>
        <w:t>listed, </w:t>
      </w:r>
      <w:r>
        <w:rPr>
          <w:spacing w:val="-3"/>
        </w:rPr>
        <w:t>and </w:t>
      </w:r>
      <w:r>
        <w:rPr/>
        <w:t>is of </w:t>
      </w:r>
      <w:r>
        <w:rPr>
          <w:spacing w:val="-4"/>
        </w:rPr>
        <w:t>outstanding  national  importance. </w:t>
      </w:r>
      <w:r>
        <w:rPr>
          <w:spacing w:val="-3"/>
        </w:rPr>
        <w:t>The </w:t>
      </w:r>
      <w:r>
        <w:rPr>
          <w:spacing w:val="-4"/>
        </w:rPr>
        <w:t>remainder are listed </w:t>
      </w:r>
      <w:r>
        <w:rPr/>
        <w:t>as </w:t>
      </w:r>
      <w:r>
        <w:rPr>
          <w:spacing w:val="-4"/>
        </w:rPr>
        <w:t>being </w:t>
      </w:r>
      <w:r>
        <w:rPr/>
        <w:t>of </w:t>
      </w:r>
      <w:r>
        <w:rPr>
          <w:spacing w:val="-4"/>
        </w:rPr>
        <w:t>special local </w:t>
      </w:r>
      <w:r>
        <w:rPr/>
        <w:t>or </w:t>
      </w:r>
      <w:r>
        <w:rPr>
          <w:spacing w:val="-4"/>
        </w:rPr>
        <w:t>regional importance (Grade </w:t>
      </w:r>
      <w:r>
        <w:rPr>
          <w:spacing w:val="-3"/>
        </w:rPr>
        <w:t>II). </w:t>
      </w:r>
      <w:r>
        <w:rPr>
          <w:spacing w:val="-4"/>
        </w:rPr>
        <w:t>Their large </w:t>
      </w:r>
      <w:r>
        <w:rPr>
          <w:spacing w:val="-3"/>
        </w:rPr>
        <w:t>form and </w:t>
      </w:r>
      <w:r>
        <w:rPr>
          <w:spacing w:val="-4"/>
        </w:rPr>
        <w:t>arrangement within large </w:t>
      </w:r>
      <w:r>
        <w:rPr>
          <w:spacing w:val="-3"/>
        </w:rPr>
        <w:t>open </w:t>
      </w:r>
      <w:r>
        <w:rPr>
          <w:spacing w:val="-4"/>
        </w:rPr>
        <w:t>plots  </w:t>
      </w:r>
      <w:r>
        <w:rPr/>
        <w:t>is in </w:t>
      </w:r>
      <w:r>
        <w:rPr>
          <w:spacing w:val="-4"/>
        </w:rPr>
        <w:t>sharp</w:t>
      </w:r>
      <w:r>
        <w:rPr>
          <w:spacing w:val="10"/>
        </w:rPr>
        <w:t> </w:t>
      </w:r>
      <w:r>
        <w:rPr>
          <w:spacing w:val="-4"/>
        </w:rPr>
        <w:t>contrast</w:t>
      </w:r>
      <w:r>
        <w:rPr>
          <w:spacing w:val="11"/>
        </w:rPr>
        <w:t> </w:t>
      </w:r>
      <w:r>
        <w:rPr/>
        <w:t>to</w:t>
      </w:r>
      <w:r>
        <w:rPr>
          <w:spacing w:val="10"/>
        </w:rPr>
        <w:t> </w:t>
      </w:r>
      <w:r>
        <w:rPr>
          <w:spacing w:val="-3"/>
        </w:rPr>
        <w:t>the</w:t>
      </w:r>
      <w:r>
        <w:rPr>
          <w:spacing w:val="11"/>
        </w:rPr>
        <w:t> </w:t>
      </w:r>
      <w:r>
        <w:rPr>
          <w:spacing w:val="-4"/>
        </w:rPr>
        <w:t>neighbouring</w:t>
      </w:r>
      <w:r>
        <w:rPr>
          <w:spacing w:val="11"/>
        </w:rPr>
        <w:t> </w:t>
      </w:r>
      <w:r>
        <w:rPr>
          <w:spacing w:val="-3"/>
        </w:rPr>
        <w:t>town</w:t>
      </w:r>
      <w:r>
        <w:rPr>
          <w:spacing w:val="10"/>
        </w:rPr>
        <w:t> </w:t>
      </w:r>
      <w:r>
        <w:rPr/>
        <w:t>of</w:t>
      </w:r>
      <w:r>
        <w:rPr>
          <w:spacing w:val="11"/>
        </w:rPr>
        <w:t> </w:t>
      </w:r>
      <w:r>
        <w:rPr>
          <w:spacing w:val="-10"/>
        </w:rPr>
        <w:t>Tadley.</w:t>
      </w:r>
    </w:p>
    <w:p>
      <w:pPr>
        <w:pStyle w:val="BodyText"/>
        <w:spacing w:before="2"/>
        <w:rPr>
          <w:sz w:val="18"/>
        </w:rPr>
      </w:pPr>
    </w:p>
    <w:p>
      <w:pPr>
        <w:pStyle w:val="BodyText"/>
        <w:spacing w:line="276" w:lineRule="auto"/>
        <w:ind w:left="702" w:right="1078"/>
      </w:pPr>
      <w:r>
        <w:rPr>
          <w:w w:val="105"/>
        </w:rPr>
        <w:t>The </w:t>
      </w:r>
      <w:r>
        <w:rPr>
          <w:spacing w:val="-3"/>
          <w:w w:val="105"/>
        </w:rPr>
        <w:t>listed buildings </w:t>
      </w:r>
      <w:r>
        <w:rPr>
          <w:spacing w:val="-4"/>
          <w:w w:val="105"/>
        </w:rPr>
        <w:t>represent </w:t>
      </w:r>
      <w:r>
        <w:rPr>
          <w:w w:val="105"/>
        </w:rPr>
        <w:t>a </w:t>
      </w:r>
      <w:r>
        <w:rPr>
          <w:spacing w:val="-3"/>
          <w:w w:val="105"/>
        </w:rPr>
        <w:t>variety </w:t>
      </w:r>
      <w:r>
        <w:rPr>
          <w:w w:val="105"/>
        </w:rPr>
        <w:t>of </w:t>
      </w:r>
      <w:r>
        <w:rPr>
          <w:spacing w:val="-3"/>
          <w:w w:val="105"/>
        </w:rPr>
        <w:t>building types, mainly dating between </w:t>
      </w:r>
      <w:r>
        <w:rPr>
          <w:w w:val="105"/>
        </w:rPr>
        <w:t>the </w:t>
      </w:r>
      <w:r>
        <w:rPr>
          <w:spacing w:val="-3"/>
          <w:w w:val="105"/>
        </w:rPr>
        <w:t>16th </w:t>
      </w:r>
      <w:r>
        <w:rPr>
          <w:w w:val="105"/>
        </w:rPr>
        <w:t>and </w:t>
      </w:r>
      <w:r>
        <w:rPr>
          <w:spacing w:val="-3"/>
          <w:w w:val="105"/>
        </w:rPr>
        <w:t>19th centuries. Dispersed </w:t>
      </w:r>
      <w:r>
        <w:rPr>
          <w:spacing w:val="-4"/>
          <w:w w:val="105"/>
        </w:rPr>
        <w:t>throughout </w:t>
      </w:r>
      <w:r>
        <w:rPr>
          <w:w w:val="105"/>
        </w:rPr>
        <w:t>the </w:t>
      </w:r>
      <w:r>
        <w:rPr>
          <w:spacing w:val="-3"/>
          <w:w w:val="105"/>
        </w:rPr>
        <w:t>Conservation </w:t>
      </w:r>
      <w:r>
        <w:rPr>
          <w:spacing w:val="-4"/>
          <w:w w:val="105"/>
        </w:rPr>
        <w:t>Area, </w:t>
      </w:r>
      <w:r>
        <w:rPr>
          <w:w w:val="105"/>
        </w:rPr>
        <w:t>and </w:t>
      </w:r>
      <w:r>
        <w:rPr>
          <w:spacing w:val="-3"/>
          <w:w w:val="105"/>
        </w:rPr>
        <w:t>often located </w:t>
      </w:r>
      <w:r>
        <w:rPr>
          <w:w w:val="105"/>
        </w:rPr>
        <w:t>at key </w:t>
      </w:r>
      <w:r>
        <w:rPr>
          <w:spacing w:val="-3"/>
          <w:w w:val="105"/>
        </w:rPr>
        <w:t>visual points </w:t>
      </w:r>
      <w:r>
        <w:rPr>
          <w:w w:val="105"/>
        </w:rPr>
        <w:t>in the </w:t>
      </w:r>
      <w:r>
        <w:rPr>
          <w:spacing w:val="-4"/>
          <w:w w:val="105"/>
        </w:rPr>
        <w:t>streetscene, </w:t>
      </w:r>
      <w:r>
        <w:rPr>
          <w:spacing w:val="-3"/>
          <w:w w:val="105"/>
        </w:rPr>
        <w:t>they make </w:t>
      </w:r>
      <w:r>
        <w:rPr>
          <w:w w:val="105"/>
        </w:rPr>
        <w:t>a </w:t>
      </w:r>
      <w:r>
        <w:rPr>
          <w:spacing w:val="-3"/>
          <w:w w:val="105"/>
        </w:rPr>
        <w:t>significant contribution </w:t>
      </w:r>
      <w:r>
        <w:rPr>
          <w:w w:val="105"/>
        </w:rPr>
        <w:t>to the </w:t>
      </w:r>
      <w:r>
        <w:rPr>
          <w:spacing w:val="-3"/>
          <w:w w:val="105"/>
        </w:rPr>
        <w:t>special qualities </w:t>
      </w:r>
      <w:r>
        <w:rPr>
          <w:w w:val="105"/>
        </w:rPr>
        <w:t>of the </w:t>
      </w:r>
      <w:r>
        <w:rPr>
          <w:spacing w:val="-3"/>
          <w:w w:val="105"/>
        </w:rPr>
        <w:t>Conservation </w:t>
      </w:r>
      <w:r>
        <w:rPr>
          <w:spacing w:val="-4"/>
          <w:w w:val="105"/>
        </w:rPr>
        <w:t>Area.</w:t>
      </w:r>
    </w:p>
    <w:p>
      <w:pPr>
        <w:pStyle w:val="BodyText"/>
        <w:spacing w:before="4"/>
        <w:rPr>
          <w:sz w:val="18"/>
        </w:rPr>
      </w:pPr>
    </w:p>
    <w:p>
      <w:pPr>
        <w:pStyle w:val="BodyText"/>
        <w:spacing w:line="276" w:lineRule="auto"/>
        <w:ind w:left="702" w:right="1161"/>
      </w:pPr>
      <w:r>
        <w:rPr>
          <w:spacing w:val="-4"/>
          <w:w w:val="105"/>
        </w:rPr>
        <w:t>There are several unlisted buildings </w:t>
      </w:r>
      <w:r>
        <w:rPr>
          <w:spacing w:val="-3"/>
          <w:w w:val="105"/>
        </w:rPr>
        <w:t>that </w:t>
      </w:r>
      <w:r>
        <w:rPr>
          <w:spacing w:val="-4"/>
          <w:w w:val="105"/>
        </w:rPr>
        <w:t>contribute positively </w:t>
      </w:r>
      <w:r>
        <w:rPr>
          <w:w w:val="105"/>
        </w:rPr>
        <w:t>to </w:t>
      </w:r>
      <w:r>
        <w:rPr>
          <w:spacing w:val="-3"/>
          <w:w w:val="105"/>
        </w:rPr>
        <w:t>the </w:t>
      </w:r>
      <w:r>
        <w:rPr>
          <w:spacing w:val="-4"/>
          <w:w w:val="105"/>
        </w:rPr>
        <w:t>special character </w:t>
      </w:r>
      <w:r>
        <w:rPr>
          <w:w w:val="105"/>
        </w:rPr>
        <w:t>of </w:t>
      </w:r>
      <w:r>
        <w:rPr>
          <w:spacing w:val="-3"/>
          <w:w w:val="105"/>
        </w:rPr>
        <w:t>the </w:t>
      </w:r>
      <w:r>
        <w:rPr>
          <w:spacing w:val="-4"/>
          <w:w w:val="105"/>
        </w:rPr>
        <w:t>Conservation Area. These buildings, dating mainly from </w:t>
      </w:r>
      <w:r>
        <w:rPr>
          <w:spacing w:val="-3"/>
          <w:w w:val="105"/>
        </w:rPr>
        <w:t>the 19th </w:t>
      </w:r>
      <w:r>
        <w:rPr>
          <w:spacing w:val="-6"/>
          <w:w w:val="105"/>
        </w:rPr>
        <w:t>century, </w:t>
      </w:r>
      <w:r>
        <w:rPr>
          <w:spacing w:val="-4"/>
          <w:w w:val="105"/>
        </w:rPr>
        <w:t>are scattered within </w:t>
      </w:r>
      <w:r>
        <w:rPr>
          <w:spacing w:val="-3"/>
          <w:w w:val="105"/>
        </w:rPr>
        <w:t>the </w:t>
      </w:r>
      <w:r>
        <w:rPr>
          <w:spacing w:val="-4"/>
          <w:w w:val="105"/>
        </w:rPr>
        <w:t>landscape. Whilst </w:t>
      </w:r>
      <w:r>
        <w:rPr>
          <w:spacing w:val="-3"/>
          <w:w w:val="105"/>
        </w:rPr>
        <w:t>some have </w:t>
      </w:r>
      <w:r>
        <w:rPr>
          <w:spacing w:val="-4"/>
          <w:w w:val="105"/>
        </w:rPr>
        <w:t>intrinsic architectural </w:t>
      </w:r>
      <w:r>
        <w:rPr>
          <w:w w:val="105"/>
        </w:rPr>
        <w:t>or </w:t>
      </w:r>
      <w:r>
        <w:rPr>
          <w:spacing w:val="-4"/>
          <w:w w:val="105"/>
        </w:rPr>
        <w:t>historic merit, </w:t>
      </w:r>
      <w:r>
        <w:rPr>
          <w:spacing w:val="-3"/>
          <w:w w:val="105"/>
        </w:rPr>
        <w:t>most </w:t>
      </w:r>
      <w:r>
        <w:rPr>
          <w:spacing w:val="-4"/>
          <w:w w:val="105"/>
        </w:rPr>
        <w:t>are  highlighted  </w:t>
      </w:r>
      <w:r>
        <w:rPr>
          <w:spacing w:val="-3"/>
          <w:w w:val="105"/>
        </w:rPr>
        <w:t>for </w:t>
      </w:r>
      <w:r>
        <w:rPr>
          <w:spacing w:val="-4"/>
          <w:w w:val="105"/>
        </w:rPr>
        <w:t>their  group  value </w:t>
      </w:r>
      <w:r>
        <w:rPr>
          <w:w w:val="105"/>
        </w:rPr>
        <w:t>in </w:t>
      </w:r>
      <w:r>
        <w:rPr>
          <w:spacing w:val="-5"/>
          <w:w w:val="105"/>
        </w:rPr>
        <w:t>reinforcing </w:t>
      </w:r>
      <w:r>
        <w:rPr>
          <w:spacing w:val="-3"/>
          <w:w w:val="105"/>
        </w:rPr>
        <w:t>the </w:t>
      </w:r>
      <w:r>
        <w:rPr>
          <w:spacing w:val="-4"/>
          <w:w w:val="105"/>
        </w:rPr>
        <w:t>character </w:t>
      </w:r>
      <w:r>
        <w:rPr>
          <w:w w:val="105"/>
        </w:rPr>
        <w:t>of </w:t>
      </w:r>
      <w:r>
        <w:rPr>
          <w:spacing w:val="-3"/>
          <w:w w:val="105"/>
        </w:rPr>
        <w:t>the </w:t>
      </w:r>
      <w:r>
        <w:rPr>
          <w:spacing w:val="-4"/>
          <w:w w:val="105"/>
        </w:rPr>
        <w:t>Conservation Area. Historic buildings</w:t>
      </w:r>
      <w:r>
        <w:rPr>
          <w:spacing w:val="37"/>
          <w:w w:val="105"/>
        </w:rPr>
        <w:t> </w:t>
      </w:r>
      <w:r>
        <w:rPr>
          <w:w w:val="105"/>
        </w:rPr>
        <w:t>of</w:t>
      </w:r>
    </w:p>
    <w:p>
      <w:pPr>
        <w:pStyle w:val="BodyText"/>
        <w:spacing w:line="276" w:lineRule="auto"/>
        <w:ind w:left="702" w:right="1032"/>
      </w:pPr>
      <w:r>
        <w:rPr/>
        <w:t>particular individual or group value are indicated as notable on the Appraisal plan. Other unmarked buildings or structures may also reflect the historic development of the area, without detracting from its special qualities.</w:t>
      </w:r>
    </w:p>
    <w:p>
      <w:pPr>
        <w:spacing w:after="0" w:line="276" w:lineRule="auto"/>
        <w:sectPr>
          <w:type w:val="continuous"/>
          <w:pgSz w:w="11910" w:h="16840"/>
          <w:pgMar w:top="880" w:bottom="0" w:left="120" w:right="120"/>
          <w:cols w:num="2" w:equalWidth="0">
            <w:col w:w="3534" w:space="40"/>
            <w:col w:w="8096"/>
          </w:cols>
        </w:sectPr>
      </w:pPr>
    </w:p>
    <w:p>
      <w:pPr>
        <w:pStyle w:val="BodyText"/>
      </w:pPr>
      <w:r>
        <w:rPr/>
        <w:pict>
          <v:line style="position:absolute;mso-position-horizontal-relative:page;mso-position-vertical-relative:page;z-index:251665408" from="595.274536pt,.00024pt" to="595.274536pt,841.89001pt" stroked="true" strokeweight=".002086pt" strokecolor="#861d46">
            <v:stroke dashstyle="solid"/>
            <w10:wrap type="none"/>
          </v:line>
        </w:pict>
      </w:r>
      <w:r>
        <w:rPr/>
        <w:pict>
          <v:rect style="position:absolute;margin-left:-.000004pt;margin-top:.00024pt;width:595.273484pt;height:841.88977pt;mso-position-horizontal-relative:page;mso-position-vertical-relative:page;z-index:-252313600" filled="true" fillcolor="#861d46" stroked="false">
            <v:fill type="solid"/>
            <w10:wrap type="none"/>
          </v:rect>
        </w:pict>
      </w:r>
      <w:r>
        <w:rPr/>
        <w:pict>
          <v:group style="position:absolute;margin-left:11.33856pt;margin-top:42.519924pt;width:584.2pt;height:756.85pt;mso-position-horizontal-relative:page;mso-position-vertical-relative:page;z-index:-252312576" coordorigin="227,850" coordsize="11684,15137">
            <v:shape style="position:absolute;left:231;top:855;width:11674;height:15127" coordorigin="232,855" coordsize="11674,15127" path="m11906,15982l515,15982,351,15938,267,15841,236,15743,232,15699,232,1139,276,975,374,891,471,860,515,855,11906,855,11906,15982xe" filled="true" fillcolor="#ffffff" stroked="false">
              <v:path arrowok="t"/>
              <v:fill type="solid"/>
            </v:shape>
            <v:shape style="position:absolute;left:-11674;top:9274;width:11674;height:15127" coordorigin="-11674,9274" coordsize="11674,15127" path="m515,855l471,860,374,891,276,975,232,1139,232,3414,232,8419,232,13424,232,15699,236,15743,267,15841,351,15938,515,15982,4075,15982,11906,15982m11906,855l4075,855,515,855e" filled="false" stroked="true" strokeweight=".5pt" strokecolor="#000000">
              <v:path arrowok="t"/>
              <v:stroke dashstyle="solid"/>
            </v:shape>
            <v:shape style="position:absolute;left:566;top:2821;width:3378;height:2552" type="#_x0000_t75" stroked="false">
              <v:imagedata r:id="rId10" o:title=""/>
            </v:shape>
            <w10:wrap type="none"/>
          </v:group>
        </w:pict>
      </w:r>
    </w:p>
    <w:p>
      <w:pPr>
        <w:pStyle w:val="BodyText"/>
        <w:spacing w:before="3"/>
        <w:rPr>
          <w:sz w:val="28"/>
        </w:rPr>
      </w:pPr>
    </w:p>
    <w:p>
      <w:pPr>
        <w:pStyle w:val="Heading2"/>
        <w:tabs>
          <w:tab w:pos="560" w:val="left" w:leader="none"/>
        </w:tabs>
        <w:spacing w:before="94"/>
        <w:ind w:left="106"/>
      </w:pPr>
      <w:r>
        <w:rPr>
          <w:b w:val="0"/>
          <w:color w:val="FFFFFF"/>
          <w:w w:val="110"/>
          <w:position w:val="2"/>
          <w:sz w:val="24"/>
        </w:rPr>
        <w:t>4</w:t>
        <w:tab/>
      </w:r>
      <w:r>
        <w:rPr>
          <w:color w:val="FFFFFF"/>
          <w:w w:val="110"/>
        </w:rPr>
        <w:t>Church Road,</w:t>
      </w:r>
      <w:r>
        <w:rPr>
          <w:color w:val="FFFFFF"/>
          <w:spacing w:val="36"/>
          <w:w w:val="110"/>
        </w:rPr>
        <w:t> </w:t>
      </w:r>
      <w:r>
        <w:rPr>
          <w:color w:val="FFFFFF"/>
          <w:spacing w:val="-6"/>
          <w:w w:val="110"/>
        </w:rPr>
        <w:t>Tadley</w:t>
      </w:r>
    </w:p>
    <w:p>
      <w:pPr>
        <w:spacing w:after="0"/>
        <w:sectPr>
          <w:type w:val="continuous"/>
          <w:pgSz w:w="11910" w:h="16840"/>
          <w:pgMar w:top="880" w:bottom="0" w:left="120" w:right="120"/>
        </w:sectPr>
      </w:pPr>
    </w:p>
    <w:p>
      <w:pPr>
        <w:pStyle w:val="Heading3"/>
        <w:ind w:left="7050"/>
      </w:pPr>
      <w:r>
        <w:rPr>
          <w:color w:val="FFFFFF"/>
          <w:w w:val="105"/>
        </w:rPr>
        <w:t>Conservation Area Appraisal</w:t>
      </w:r>
    </w:p>
    <w:p>
      <w:pPr>
        <w:pStyle w:val="BodyText"/>
      </w:pPr>
    </w:p>
    <w:p>
      <w:pPr>
        <w:pStyle w:val="BodyText"/>
      </w:pPr>
    </w:p>
    <w:p>
      <w:pPr>
        <w:pStyle w:val="BodyText"/>
      </w:pPr>
    </w:p>
    <w:p>
      <w:pPr>
        <w:pStyle w:val="BodyText"/>
      </w:pPr>
    </w:p>
    <w:p>
      <w:pPr>
        <w:pStyle w:val="BodyText"/>
      </w:pPr>
    </w:p>
    <w:p>
      <w:pPr>
        <w:pStyle w:val="BodyText"/>
        <w:spacing w:before="11"/>
        <w:rPr>
          <w:sz w:val="23"/>
        </w:rPr>
      </w:pPr>
    </w:p>
    <w:p>
      <w:pPr>
        <w:spacing w:before="94"/>
        <w:ind w:left="1013" w:right="0" w:firstLine="0"/>
        <w:jc w:val="left"/>
        <w:rPr>
          <w:b/>
          <w:sz w:val="32"/>
        </w:rPr>
      </w:pPr>
      <w:r>
        <w:rPr>
          <w:b/>
          <w:w w:val="115"/>
          <w:sz w:val="32"/>
        </w:rPr>
        <w:t>Key Individual Buildings</w:t>
      </w:r>
    </w:p>
    <w:p>
      <w:pPr>
        <w:pStyle w:val="BodyText"/>
        <w:spacing w:line="276" w:lineRule="auto" w:before="146"/>
        <w:ind w:left="1013" w:right="4436"/>
      </w:pPr>
      <w:r>
        <w:rPr/>
        <w:t>St </w:t>
      </w:r>
      <w:r>
        <w:rPr>
          <w:spacing w:val="-5"/>
        </w:rPr>
        <w:t>Peter’s </w:t>
      </w:r>
      <w:r>
        <w:rPr>
          <w:spacing w:val="-3"/>
        </w:rPr>
        <w:t>Church </w:t>
      </w:r>
      <w:r>
        <w:rPr/>
        <w:t>dates mainly </w:t>
      </w:r>
      <w:r>
        <w:rPr>
          <w:spacing w:val="-3"/>
        </w:rPr>
        <w:t>from </w:t>
      </w:r>
      <w:r>
        <w:rPr/>
        <w:t>the 17th and 18th centuries. It was </w:t>
      </w:r>
      <w:r>
        <w:rPr>
          <w:spacing w:val="-3"/>
        </w:rPr>
        <w:t>restored </w:t>
      </w:r>
      <w:r>
        <w:rPr/>
        <w:t>extensively in 1879 and has an aisleless nave and chancel, a west </w:t>
      </w:r>
      <w:r>
        <w:rPr>
          <w:spacing w:val="-5"/>
        </w:rPr>
        <w:t>tower, </w:t>
      </w:r>
      <w:r>
        <w:rPr/>
        <w:t>and a south </w:t>
      </w:r>
      <w:r>
        <w:rPr>
          <w:spacing w:val="-3"/>
        </w:rPr>
        <w:t>porch. There </w:t>
      </w:r>
      <w:r>
        <w:rPr/>
        <w:t>is a </w:t>
      </w:r>
      <w:r>
        <w:rPr>
          <w:spacing w:val="-3"/>
        </w:rPr>
        <w:t>reference </w:t>
      </w:r>
      <w:r>
        <w:rPr/>
        <w:t>to a </w:t>
      </w:r>
      <w:r>
        <w:rPr>
          <w:spacing w:val="-3"/>
        </w:rPr>
        <w:t>church </w:t>
      </w:r>
      <w:r>
        <w:rPr/>
        <w:t>at  </w:t>
      </w:r>
      <w:r>
        <w:rPr>
          <w:spacing w:val="-6"/>
        </w:rPr>
        <w:t>Tadley  </w:t>
      </w:r>
      <w:r>
        <w:rPr/>
        <w:t>in AD1286 and of a vicar of Overton with </w:t>
      </w:r>
      <w:r>
        <w:rPr>
          <w:spacing w:val="-6"/>
        </w:rPr>
        <w:t>Tadley </w:t>
      </w:r>
      <w:r>
        <w:rPr/>
        <w:t>in AD1303. The chancel has brick walling in Flemish bond with blue headers, and a 19th century </w:t>
      </w:r>
      <w:r>
        <w:rPr>
          <w:spacing w:val="-3"/>
        </w:rPr>
        <w:t>three- </w:t>
      </w:r>
      <w:r>
        <w:rPr/>
        <w:t>light wooden perpendicular  style  east  </w:t>
      </w:r>
      <w:r>
        <w:rPr>
          <w:spacing w:val="-4"/>
        </w:rPr>
        <w:t>window.  </w:t>
      </w:r>
      <w:r>
        <w:rPr/>
        <w:t>The  nave  is  </w:t>
      </w:r>
      <w:r>
        <w:rPr>
          <w:spacing w:val="-3"/>
        </w:rPr>
        <w:t>roughcast, </w:t>
      </w:r>
      <w:r>
        <w:rPr/>
        <w:t>with coupled </w:t>
      </w:r>
      <w:r>
        <w:rPr>
          <w:spacing w:val="-3"/>
        </w:rPr>
        <w:t>round-arched </w:t>
      </w:r>
      <w:r>
        <w:rPr/>
        <w:t>windows, a plain  filled-in  </w:t>
      </w:r>
      <w:r>
        <w:rPr>
          <w:spacing w:val="-3"/>
        </w:rPr>
        <w:t>arched  </w:t>
      </w:r>
      <w:r>
        <w:rPr/>
        <w:t>doorway  on the north, and a larger </w:t>
      </w:r>
      <w:r>
        <w:rPr>
          <w:spacing w:val="-3"/>
        </w:rPr>
        <w:t>arched </w:t>
      </w:r>
      <w:r>
        <w:rPr/>
        <w:t>doorway into the </w:t>
      </w:r>
      <w:r>
        <w:rPr>
          <w:spacing w:val="-3"/>
        </w:rPr>
        <w:t>porch. </w:t>
      </w:r>
      <w:r>
        <w:rPr/>
        <w:t>The tower has a pyramid shaped tiled </w:t>
      </w:r>
      <w:r>
        <w:rPr>
          <w:spacing w:val="-3"/>
        </w:rPr>
        <w:t>roof </w:t>
      </w:r>
      <w:r>
        <w:rPr/>
        <w:t>and </w:t>
      </w:r>
      <w:r>
        <w:rPr>
          <w:spacing w:val="-3"/>
        </w:rPr>
        <w:t>red </w:t>
      </w:r>
      <w:r>
        <w:rPr/>
        <w:t>brick walling in English</w:t>
      </w:r>
      <w:r>
        <w:rPr>
          <w:spacing w:val="30"/>
        </w:rPr>
        <w:t> </w:t>
      </w:r>
      <w:r>
        <w:rPr/>
        <w:t>bond.</w:t>
      </w:r>
    </w:p>
    <w:p>
      <w:pPr>
        <w:spacing w:after="0" w:line="276" w:lineRule="auto"/>
        <w:sectPr>
          <w:pgSz w:w="11910" w:h="16840"/>
          <w:pgMar w:top="160" w:bottom="0" w:left="120" w:right="120"/>
        </w:sectPr>
      </w:pPr>
    </w:p>
    <w:p>
      <w:pPr>
        <w:pStyle w:val="BodyText"/>
        <w:rPr>
          <w:sz w:val="18"/>
        </w:rPr>
      </w:pPr>
    </w:p>
    <w:p>
      <w:pPr>
        <w:pStyle w:val="BodyText"/>
        <w:spacing w:line="276" w:lineRule="auto"/>
        <w:ind w:left="1013" w:right="90"/>
      </w:pPr>
      <w:r>
        <w:rPr>
          <w:spacing w:val="-4"/>
          <w:w w:val="105"/>
        </w:rPr>
        <w:t>The </w:t>
      </w:r>
      <w:r>
        <w:rPr>
          <w:spacing w:val="-5"/>
          <w:w w:val="105"/>
        </w:rPr>
        <w:t>church </w:t>
      </w:r>
      <w:r>
        <w:rPr>
          <w:spacing w:val="-4"/>
          <w:w w:val="105"/>
        </w:rPr>
        <w:t>lies </w:t>
      </w:r>
      <w:r>
        <w:rPr>
          <w:spacing w:val="-3"/>
          <w:w w:val="105"/>
        </w:rPr>
        <w:t>at </w:t>
      </w:r>
      <w:r>
        <w:rPr>
          <w:spacing w:val="-4"/>
          <w:w w:val="105"/>
        </w:rPr>
        <w:t>the top </w:t>
      </w:r>
      <w:r>
        <w:rPr>
          <w:spacing w:val="-3"/>
          <w:w w:val="105"/>
        </w:rPr>
        <w:t>of </w:t>
      </w:r>
      <w:r>
        <w:rPr>
          <w:w w:val="105"/>
        </w:rPr>
        <w:t>a </w:t>
      </w:r>
      <w:r>
        <w:rPr>
          <w:spacing w:val="-4"/>
          <w:w w:val="105"/>
        </w:rPr>
        <w:t>small </w:t>
      </w:r>
      <w:r>
        <w:rPr>
          <w:spacing w:val="-5"/>
          <w:w w:val="105"/>
        </w:rPr>
        <w:t>incline </w:t>
      </w:r>
      <w:r>
        <w:rPr>
          <w:spacing w:val="-3"/>
          <w:w w:val="105"/>
        </w:rPr>
        <w:t>in </w:t>
      </w:r>
      <w:r>
        <w:rPr>
          <w:spacing w:val="-5"/>
          <w:w w:val="105"/>
        </w:rPr>
        <w:t>Church </w:t>
      </w:r>
      <w:r>
        <w:rPr>
          <w:spacing w:val="-4"/>
          <w:w w:val="105"/>
        </w:rPr>
        <w:t>Road and can, </w:t>
      </w:r>
      <w:r>
        <w:rPr>
          <w:spacing w:val="-6"/>
          <w:w w:val="105"/>
        </w:rPr>
        <w:t>therefore, </w:t>
      </w:r>
      <w:r>
        <w:rPr>
          <w:spacing w:val="-4"/>
          <w:w w:val="105"/>
        </w:rPr>
        <w:t>only </w:t>
      </w:r>
      <w:r>
        <w:rPr>
          <w:spacing w:val="-3"/>
          <w:w w:val="105"/>
        </w:rPr>
        <w:t>be </w:t>
      </w:r>
      <w:r>
        <w:rPr>
          <w:spacing w:val="-4"/>
          <w:w w:val="105"/>
        </w:rPr>
        <w:t>seen </w:t>
      </w:r>
      <w:r>
        <w:rPr>
          <w:spacing w:val="-5"/>
          <w:w w:val="105"/>
        </w:rPr>
        <w:t>from </w:t>
      </w:r>
      <w:r>
        <w:rPr>
          <w:spacing w:val="-4"/>
          <w:w w:val="105"/>
        </w:rPr>
        <w:t>the north when the </w:t>
      </w:r>
      <w:r>
        <w:rPr>
          <w:spacing w:val="-7"/>
          <w:w w:val="105"/>
        </w:rPr>
        <w:t>narrow, </w:t>
      </w:r>
      <w:r>
        <w:rPr>
          <w:spacing w:val="-5"/>
          <w:w w:val="105"/>
        </w:rPr>
        <w:t>hedged country </w:t>
      </w:r>
      <w:r>
        <w:rPr>
          <w:spacing w:val="-4"/>
          <w:w w:val="105"/>
        </w:rPr>
        <w:t>lane </w:t>
      </w:r>
      <w:r>
        <w:rPr>
          <w:spacing w:val="-5"/>
          <w:w w:val="105"/>
        </w:rPr>
        <w:t>widens </w:t>
      </w:r>
      <w:r>
        <w:rPr>
          <w:spacing w:val="-3"/>
          <w:w w:val="105"/>
        </w:rPr>
        <w:t>as it </w:t>
      </w:r>
      <w:r>
        <w:rPr>
          <w:spacing w:val="-5"/>
          <w:w w:val="105"/>
        </w:rPr>
        <w:t>reaches </w:t>
      </w:r>
      <w:r>
        <w:rPr>
          <w:spacing w:val="-4"/>
          <w:w w:val="105"/>
        </w:rPr>
        <w:t>this </w:t>
      </w:r>
      <w:r>
        <w:rPr>
          <w:spacing w:val="-5"/>
          <w:w w:val="105"/>
        </w:rPr>
        <w:t>point. From </w:t>
      </w:r>
      <w:r>
        <w:rPr>
          <w:spacing w:val="-4"/>
          <w:w w:val="105"/>
        </w:rPr>
        <w:t>the </w:t>
      </w:r>
      <w:r>
        <w:rPr>
          <w:spacing w:val="-5"/>
          <w:w w:val="105"/>
        </w:rPr>
        <w:t>south, </w:t>
      </w:r>
      <w:r>
        <w:rPr>
          <w:spacing w:val="-4"/>
          <w:w w:val="105"/>
        </w:rPr>
        <w:t>the </w:t>
      </w:r>
      <w:r>
        <w:rPr>
          <w:spacing w:val="-5"/>
          <w:w w:val="105"/>
        </w:rPr>
        <w:t>church </w:t>
      </w:r>
      <w:r>
        <w:rPr>
          <w:spacing w:val="-4"/>
          <w:w w:val="105"/>
        </w:rPr>
        <w:t>again only </w:t>
      </w:r>
      <w:r>
        <w:rPr>
          <w:spacing w:val="-5"/>
          <w:w w:val="105"/>
        </w:rPr>
        <w:t>appears </w:t>
      </w:r>
      <w:r>
        <w:rPr>
          <w:spacing w:val="-3"/>
          <w:w w:val="105"/>
        </w:rPr>
        <w:t>as </w:t>
      </w:r>
      <w:r>
        <w:rPr>
          <w:spacing w:val="-4"/>
          <w:w w:val="105"/>
        </w:rPr>
        <w:t>the </w:t>
      </w:r>
      <w:r>
        <w:rPr>
          <w:spacing w:val="-5"/>
          <w:w w:val="105"/>
        </w:rPr>
        <w:t>trees </w:t>
      </w:r>
      <w:r>
        <w:rPr>
          <w:spacing w:val="-4"/>
          <w:w w:val="105"/>
        </w:rPr>
        <w:t>and </w:t>
      </w:r>
      <w:r>
        <w:rPr>
          <w:spacing w:val="-5"/>
          <w:w w:val="105"/>
        </w:rPr>
        <w:t>hedges </w:t>
      </w:r>
      <w:r>
        <w:rPr>
          <w:spacing w:val="-4"/>
          <w:w w:val="105"/>
        </w:rPr>
        <w:t>that </w:t>
      </w:r>
      <w:r>
        <w:rPr>
          <w:spacing w:val="-5"/>
          <w:w w:val="105"/>
        </w:rPr>
        <w:t>define </w:t>
      </w:r>
      <w:r>
        <w:rPr>
          <w:spacing w:val="-4"/>
          <w:w w:val="105"/>
        </w:rPr>
        <w:t>the lane give way </w:t>
      </w:r>
      <w:r>
        <w:rPr>
          <w:spacing w:val="-3"/>
          <w:w w:val="105"/>
        </w:rPr>
        <w:t>to </w:t>
      </w:r>
      <w:r>
        <w:rPr>
          <w:spacing w:val="-5"/>
          <w:w w:val="105"/>
        </w:rPr>
        <w:t>reveal </w:t>
      </w:r>
      <w:r>
        <w:rPr>
          <w:spacing w:val="-4"/>
          <w:w w:val="105"/>
        </w:rPr>
        <w:t>the </w:t>
      </w:r>
      <w:r>
        <w:rPr>
          <w:spacing w:val="-8"/>
          <w:w w:val="105"/>
        </w:rPr>
        <w:t>tower.</w:t>
      </w:r>
    </w:p>
    <w:p>
      <w:pPr>
        <w:pStyle w:val="BodyText"/>
        <w:spacing w:before="3"/>
        <w:rPr>
          <w:sz w:val="18"/>
        </w:rPr>
      </w:pPr>
    </w:p>
    <w:p>
      <w:pPr>
        <w:pStyle w:val="BodyText"/>
        <w:spacing w:line="276" w:lineRule="auto"/>
        <w:ind w:left="1013" w:right="17"/>
      </w:pPr>
      <w:r>
        <w:rPr>
          <w:w w:val="105"/>
        </w:rPr>
        <w:t>Hawley Farmhouse dates from 1823 and has a symmetrical façade, which is imposing and polite, and of intended status. The roof is hipped slate with brick dentil eaves, and the walling is blue headers with flush red dressings and rubbed flat arches. The farmhouse is an important feature of the Conservation Area. It terminates the long, tree-lined corridor view along New Road from the bend in the road past No 94 at the edge of the area. It can also be glimpsed from across the fields to the west of Church Brook and from Church Road.</w:t>
      </w:r>
    </w:p>
    <w:p>
      <w:pPr>
        <w:pStyle w:val="BodyText"/>
        <w:spacing w:before="1"/>
        <w:rPr>
          <w:sz w:val="18"/>
        </w:rPr>
      </w:pPr>
    </w:p>
    <w:p>
      <w:pPr>
        <w:pStyle w:val="BodyText"/>
        <w:spacing w:line="276" w:lineRule="auto"/>
        <w:ind w:left="1013" w:right="90"/>
      </w:pPr>
      <w:r>
        <w:rPr>
          <w:spacing w:val="-14"/>
        </w:rPr>
        <w:t>To </w:t>
      </w:r>
      <w:r>
        <w:rPr>
          <w:spacing w:val="-4"/>
        </w:rPr>
        <w:t>the east </w:t>
      </w:r>
      <w:r>
        <w:rPr>
          <w:spacing w:val="-3"/>
        </w:rPr>
        <w:t>of </w:t>
      </w:r>
      <w:r>
        <w:rPr>
          <w:spacing w:val="-4"/>
        </w:rPr>
        <w:t>the </w:t>
      </w:r>
      <w:r>
        <w:rPr>
          <w:spacing w:val="-5"/>
        </w:rPr>
        <w:t>farmhouse </w:t>
      </w:r>
      <w:r>
        <w:rPr>
          <w:spacing w:val="-4"/>
        </w:rPr>
        <w:t>lies  </w:t>
      </w:r>
      <w:r>
        <w:rPr/>
        <w:t>a  </w:t>
      </w:r>
      <w:r>
        <w:rPr>
          <w:spacing w:val="-5"/>
        </w:rPr>
        <w:t>granary  dating  from  </w:t>
      </w:r>
      <w:r>
        <w:rPr>
          <w:spacing w:val="-4"/>
        </w:rPr>
        <w:t>the  early  19th </w:t>
      </w:r>
      <w:r>
        <w:rPr>
          <w:spacing w:val="-7"/>
        </w:rPr>
        <w:t>century, </w:t>
      </w:r>
      <w:r>
        <w:rPr>
          <w:spacing w:val="-4"/>
        </w:rPr>
        <w:t>which has been </w:t>
      </w:r>
      <w:r>
        <w:rPr>
          <w:spacing w:val="-5"/>
        </w:rPr>
        <w:t>substantially altered </w:t>
      </w:r>
      <w:r>
        <w:rPr>
          <w:spacing w:val="-4"/>
        </w:rPr>
        <w:t>for use  </w:t>
      </w:r>
      <w:r>
        <w:rPr>
          <w:spacing w:val="-3"/>
        </w:rPr>
        <w:t>as  </w:t>
      </w:r>
      <w:r>
        <w:rPr/>
        <w:t>a </w:t>
      </w:r>
      <w:r>
        <w:rPr>
          <w:spacing w:val="-4"/>
        </w:rPr>
        <w:t>barn.  </w:t>
      </w:r>
      <w:r>
        <w:rPr>
          <w:spacing w:val="-3"/>
        </w:rPr>
        <w:t>It  is </w:t>
      </w:r>
      <w:r>
        <w:rPr>
          <w:spacing w:val="-5"/>
        </w:rPr>
        <w:t>constructed </w:t>
      </w:r>
      <w:r>
        <w:rPr>
          <w:spacing w:val="-3"/>
        </w:rPr>
        <w:t>of </w:t>
      </w:r>
      <w:r>
        <w:rPr/>
        <w:t>a </w:t>
      </w:r>
      <w:r>
        <w:rPr>
          <w:spacing w:val="-4"/>
        </w:rPr>
        <w:t>two bay </w:t>
      </w:r>
      <w:r>
        <w:rPr>
          <w:spacing w:val="-6"/>
        </w:rPr>
        <w:t>timber-frame, </w:t>
      </w:r>
      <w:r>
        <w:rPr>
          <w:spacing w:val="-4"/>
        </w:rPr>
        <w:t>with </w:t>
      </w:r>
      <w:r>
        <w:rPr/>
        <w:t>a </w:t>
      </w:r>
      <w:r>
        <w:rPr>
          <w:spacing w:val="-4"/>
        </w:rPr>
        <w:t>half </w:t>
      </w:r>
      <w:r>
        <w:rPr>
          <w:spacing w:val="-5"/>
        </w:rPr>
        <w:t>hipped  </w:t>
      </w:r>
      <w:r>
        <w:rPr>
          <w:spacing w:val="-4"/>
        </w:rPr>
        <w:t>tile  </w:t>
      </w:r>
      <w:r>
        <w:rPr>
          <w:spacing w:val="-5"/>
        </w:rPr>
        <w:t>roof  </w:t>
      </w:r>
      <w:r>
        <w:rPr>
          <w:spacing w:val="-4"/>
        </w:rPr>
        <w:t>and </w:t>
      </w:r>
      <w:r>
        <w:rPr>
          <w:spacing w:val="-5"/>
        </w:rPr>
        <w:t>boarded walling. </w:t>
      </w:r>
      <w:r>
        <w:rPr>
          <w:spacing w:val="-4"/>
        </w:rPr>
        <w:t>The </w:t>
      </w:r>
      <w:r>
        <w:rPr>
          <w:spacing w:val="-5"/>
        </w:rPr>
        <w:t>enclosed setting </w:t>
      </w:r>
      <w:r>
        <w:rPr>
          <w:spacing w:val="-3"/>
        </w:rPr>
        <w:t>of </w:t>
      </w:r>
      <w:r>
        <w:rPr>
          <w:spacing w:val="-4"/>
        </w:rPr>
        <w:t>this farm </w:t>
      </w:r>
      <w:r>
        <w:rPr>
          <w:spacing w:val="-5"/>
        </w:rPr>
        <w:t>complex, behind </w:t>
      </w:r>
      <w:r>
        <w:rPr/>
        <w:t>a </w:t>
      </w:r>
      <w:r>
        <w:rPr>
          <w:spacing w:val="-5"/>
        </w:rPr>
        <w:t>mature  tree </w:t>
      </w:r>
      <w:r>
        <w:rPr>
          <w:spacing w:val="-4"/>
        </w:rPr>
        <w:t>belt </w:t>
      </w:r>
      <w:r>
        <w:rPr>
          <w:spacing w:val="-3"/>
        </w:rPr>
        <w:t>on </w:t>
      </w:r>
      <w:r>
        <w:rPr>
          <w:spacing w:val="-4"/>
        </w:rPr>
        <w:t>New Road and </w:t>
      </w:r>
      <w:r>
        <w:rPr>
          <w:spacing w:val="-5"/>
        </w:rPr>
        <w:t>Church </w:t>
      </w:r>
      <w:r>
        <w:rPr>
          <w:spacing w:val="-4"/>
        </w:rPr>
        <w:t>Road, </w:t>
      </w:r>
      <w:r>
        <w:rPr>
          <w:spacing w:val="-3"/>
        </w:rPr>
        <w:t>is an  </w:t>
      </w:r>
      <w:r>
        <w:rPr>
          <w:spacing w:val="-5"/>
        </w:rPr>
        <w:t>important  characteristic.  </w:t>
      </w:r>
      <w:r>
        <w:rPr>
          <w:spacing w:val="-3"/>
        </w:rPr>
        <w:t>It </w:t>
      </w:r>
      <w:r>
        <w:rPr>
          <w:spacing w:val="-5"/>
        </w:rPr>
        <w:t>places </w:t>
      </w:r>
      <w:r>
        <w:rPr>
          <w:spacing w:val="-4"/>
        </w:rPr>
        <w:t>the </w:t>
      </w:r>
      <w:r>
        <w:rPr>
          <w:spacing w:val="-5"/>
        </w:rPr>
        <w:t>buildings </w:t>
      </w:r>
      <w:r>
        <w:rPr>
          <w:spacing w:val="-3"/>
        </w:rPr>
        <w:t>in </w:t>
      </w:r>
      <w:r>
        <w:rPr/>
        <w:t>a </w:t>
      </w:r>
      <w:r>
        <w:rPr>
          <w:spacing w:val="-5"/>
        </w:rPr>
        <w:t>well-defined space, separated from </w:t>
      </w:r>
      <w:r>
        <w:rPr>
          <w:spacing w:val="-4"/>
        </w:rPr>
        <w:t>the  open  rural space</w:t>
      </w:r>
      <w:r>
        <w:rPr>
          <w:spacing w:val="5"/>
        </w:rPr>
        <w:t> </w:t>
      </w:r>
      <w:r>
        <w:rPr>
          <w:spacing w:val="-5"/>
        </w:rPr>
        <w:t>beyond.</w:t>
      </w:r>
    </w:p>
    <w:p>
      <w:pPr>
        <w:pStyle w:val="BodyText"/>
        <w:spacing w:before="2"/>
        <w:rPr>
          <w:sz w:val="18"/>
        </w:rPr>
      </w:pPr>
    </w:p>
    <w:p>
      <w:pPr>
        <w:pStyle w:val="BodyText"/>
        <w:spacing w:line="276" w:lineRule="auto"/>
        <w:ind w:left="1013" w:right="87"/>
      </w:pPr>
      <w:r>
        <w:rPr>
          <w:w w:val="105"/>
        </w:rPr>
        <w:t>Hatch Cottage, situated close to the church, dates from the 16th century and is a cruck built timber-framed house of one-storey and an attic. The roof is thatched with three-eyebrow dormers, and the timber-frame is exposed on the north gable.</w:t>
      </w:r>
    </w:p>
    <w:p>
      <w:pPr>
        <w:pStyle w:val="BodyText"/>
        <w:spacing w:before="4"/>
        <w:rPr>
          <w:sz w:val="18"/>
        </w:rPr>
      </w:pPr>
    </w:p>
    <w:p>
      <w:pPr>
        <w:pStyle w:val="BodyText"/>
        <w:spacing w:line="276" w:lineRule="auto"/>
        <w:ind w:left="1013"/>
      </w:pPr>
      <w:r>
        <w:rPr>
          <w:spacing w:val="-4"/>
          <w:w w:val="105"/>
        </w:rPr>
        <w:t>Notable unlisted buildings within </w:t>
      </w:r>
      <w:r>
        <w:rPr>
          <w:spacing w:val="-3"/>
          <w:w w:val="105"/>
        </w:rPr>
        <w:t>the </w:t>
      </w:r>
      <w:r>
        <w:rPr>
          <w:spacing w:val="-4"/>
          <w:w w:val="105"/>
        </w:rPr>
        <w:t>Conservation Area include </w:t>
      </w:r>
      <w:r>
        <w:rPr>
          <w:spacing w:val="-6"/>
          <w:w w:val="105"/>
        </w:rPr>
        <w:t>Bishopwood </w:t>
      </w:r>
      <w:r>
        <w:rPr>
          <w:spacing w:val="-4"/>
          <w:w w:val="105"/>
        </w:rPr>
        <w:t>Grange, </w:t>
      </w:r>
      <w:r>
        <w:rPr>
          <w:spacing w:val="-3"/>
          <w:w w:val="105"/>
        </w:rPr>
        <w:t>the </w:t>
      </w:r>
      <w:r>
        <w:rPr>
          <w:spacing w:val="-4"/>
          <w:w w:val="105"/>
        </w:rPr>
        <w:t>agricultural buildings </w:t>
      </w:r>
      <w:r>
        <w:rPr>
          <w:w w:val="105"/>
        </w:rPr>
        <w:t>at </w:t>
      </w:r>
      <w:r>
        <w:rPr>
          <w:spacing w:val="-4"/>
          <w:w w:val="105"/>
        </w:rPr>
        <w:t>Hawley Farm, Foxley </w:t>
      </w:r>
      <w:r>
        <w:rPr>
          <w:spacing w:val="-3"/>
          <w:w w:val="105"/>
        </w:rPr>
        <w:t>Barn, </w:t>
      </w:r>
      <w:r>
        <w:rPr>
          <w:spacing w:val="-6"/>
          <w:w w:val="105"/>
        </w:rPr>
        <w:t>Coachman’s </w:t>
      </w:r>
      <w:r>
        <w:rPr>
          <w:spacing w:val="-4"/>
          <w:w w:val="105"/>
        </w:rPr>
        <w:t>Cottage, </w:t>
      </w:r>
      <w:r>
        <w:rPr>
          <w:spacing w:val="-3"/>
          <w:w w:val="105"/>
        </w:rPr>
        <w:t>and </w:t>
      </w:r>
      <w:r>
        <w:rPr>
          <w:spacing w:val="-4"/>
          <w:w w:val="105"/>
        </w:rPr>
        <w:t>Garden Cottage. Often </w:t>
      </w:r>
      <w:r>
        <w:rPr>
          <w:spacing w:val="-3"/>
          <w:w w:val="105"/>
        </w:rPr>
        <w:t>only the </w:t>
      </w:r>
      <w:r>
        <w:rPr>
          <w:spacing w:val="-4"/>
          <w:w w:val="105"/>
        </w:rPr>
        <w:t>slopes </w:t>
      </w:r>
      <w:r>
        <w:rPr>
          <w:w w:val="105"/>
        </w:rPr>
        <w:t>of </w:t>
      </w:r>
      <w:r>
        <w:rPr>
          <w:spacing w:val="-4"/>
          <w:w w:val="105"/>
        </w:rPr>
        <w:t>their thatched roofs are visible above </w:t>
      </w:r>
      <w:r>
        <w:rPr>
          <w:spacing w:val="-3"/>
          <w:w w:val="105"/>
        </w:rPr>
        <w:t>tall </w:t>
      </w:r>
      <w:r>
        <w:rPr>
          <w:spacing w:val="-4"/>
          <w:w w:val="105"/>
        </w:rPr>
        <w:t>boundary hedges, which </w:t>
      </w:r>
      <w:r>
        <w:rPr>
          <w:spacing w:val="-3"/>
          <w:w w:val="105"/>
        </w:rPr>
        <w:t>help </w:t>
      </w:r>
      <w:r>
        <w:rPr>
          <w:spacing w:val="-4"/>
          <w:w w:val="105"/>
        </w:rPr>
        <w:t>create their mature </w:t>
      </w:r>
      <w:r>
        <w:rPr>
          <w:spacing w:val="-3"/>
          <w:w w:val="105"/>
        </w:rPr>
        <w:t>and </w:t>
      </w:r>
      <w:r>
        <w:rPr>
          <w:spacing w:val="-4"/>
          <w:w w:val="105"/>
        </w:rPr>
        <w:t>formal landscape settings. These buildings are generally </w:t>
      </w:r>
      <w:r>
        <w:rPr>
          <w:w w:val="105"/>
        </w:rPr>
        <w:t>of </w:t>
      </w:r>
      <w:r>
        <w:rPr>
          <w:spacing w:val="-4"/>
          <w:w w:val="105"/>
        </w:rPr>
        <w:t>simple vernacular </w:t>
      </w:r>
      <w:r>
        <w:rPr>
          <w:spacing w:val="-3"/>
          <w:w w:val="105"/>
        </w:rPr>
        <w:t>form and </w:t>
      </w:r>
      <w:r>
        <w:rPr>
          <w:spacing w:val="-4"/>
          <w:w w:val="105"/>
        </w:rPr>
        <w:t>individually </w:t>
      </w:r>
      <w:r>
        <w:rPr>
          <w:spacing w:val="-5"/>
          <w:w w:val="105"/>
        </w:rPr>
        <w:t>reinforce </w:t>
      </w:r>
      <w:r>
        <w:rPr>
          <w:spacing w:val="-3"/>
          <w:w w:val="105"/>
        </w:rPr>
        <w:t>the </w:t>
      </w:r>
      <w:r>
        <w:rPr>
          <w:spacing w:val="-4"/>
          <w:w w:val="105"/>
        </w:rPr>
        <w:t>historic character </w:t>
      </w:r>
      <w:r>
        <w:rPr>
          <w:w w:val="105"/>
        </w:rPr>
        <w:t>of </w:t>
      </w:r>
      <w:r>
        <w:rPr>
          <w:spacing w:val="-3"/>
          <w:w w:val="105"/>
        </w:rPr>
        <w:t>the </w:t>
      </w:r>
      <w:r>
        <w:rPr>
          <w:spacing w:val="-4"/>
          <w:w w:val="105"/>
        </w:rPr>
        <w:t>settlement.</w:t>
      </w:r>
    </w:p>
    <w:p>
      <w:pPr>
        <w:spacing w:before="130"/>
        <w:ind w:left="767" w:right="0" w:firstLine="0"/>
        <w:jc w:val="left"/>
        <w:rPr>
          <w:b/>
          <w:i/>
          <w:sz w:val="14"/>
        </w:rPr>
      </w:pPr>
      <w:r>
        <w:rPr/>
        <w:br w:type="column"/>
      </w:r>
      <w:r>
        <w:rPr>
          <w:b/>
          <w:i/>
          <w:w w:val="115"/>
          <w:sz w:val="14"/>
        </w:rPr>
        <w:t>Hawley Farmhouse</w:t>
      </w:r>
    </w:p>
    <w:p>
      <w:pPr>
        <w:pStyle w:val="BodyText"/>
        <w:rPr>
          <w:b/>
          <w:i/>
          <w:sz w:val="16"/>
        </w:rPr>
      </w:pPr>
    </w:p>
    <w:p>
      <w:pPr>
        <w:pStyle w:val="BodyText"/>
        <w:rPr>
          <w:b/>
          <w:i/>
          <w:sz w:val="16"/>
        </w:rPr>
      </w:pPr>
    </w:p>
    <w:p>
      <w:pPr>
        <w:pStyle w:val="BodyText"/>
        <w:rPr>
          <w:b/>
          <w:i/>
          <w:sz w:val="16"/>
        </w:rPr>
      </w:pPr>
    </w:p>
    <w:p>
      <w:pPr>
        <w:pStyle w:val="BodyText"/>
        <w:rPr>
          <w:b/>
          <w:i/>
          <w:sz w:val="16"/>
        </w:rPr>
      </w:pPr>
    </w:p>
    <w:p>
      <w:pPr>
        <w:pStyle w:val="BodyText"/>
        <w:rPr>
          <w:b/>
          <w:i/>
          <w:sz w:val="16"/>
        </w:rPr>
      </w:pPr>
    </w:p>
    <w:p>
      <w:pPr>
        <w:pStyle w:val="BodyText"/>
        <w:rPr>
          <w:b/>
          <w:i/>
          <w:sz w:val="16"/>
        </w:rPr>
      </w:pPr>
    </w:p>
    <w:p>
      <w:pPr>
        <w:pStyle w:val="BodyText"/>
        <w:rPr>
          <w:b/>
          <w:i/>
          <w:sz w:val="16"/>
        </w:rPr>
      </w:pPr>
    </w:p>
    <w:p>
      <w:pPr>
        <w:pStyle w:val="BodyText"/>
        <w:rPr>
          <w:b/>
          <w:i/>
          <w:sz w:val="16"/>
        </w:rPr>
      </w:pPr>
    </w:p>
    <w:p>
      <w:pPr>
        <w:pStyle w:val="BodyText"/>
        <w:rPr>
          <w:b/>
          <w:i/>
          <w:sz w:val="16"/>
        </w:rPr>
      </w:pPr>
    </w:p>
    <w:p>
      <w:pPr>
        <w:pStyle w:val="BodyText"/>
        <w:rPr>
          <w:b/>
          <w:i/>
          <w:sz w:val="16"/>
        </w:rPr>
      </w:pPr>
    </w:p>
    <w:p>
      <w:pPr>
        <w:pStyle w:val="BodyText"/>
        <w:rPr>
          <w:b/>
          <w:i/>
          <w:sz w:val="16"/>
        </w:rPr>
      </w:pPr>
    </w:p>
    <w:p>
      <w:pPr>
        <w:pStyle w:val="BodyText"/>
        <w:rPr>
          <w:b/>
          <w:i/>
          <w:sz w:val="16"/>
        </w:rPr>
      </w:pPr>
    </w:p>
    <w:p>
      <w:pPr>
        <w:pStyle w:val="BodyText"/>
        <w:rPr>
          <w:b/>
          <w:i/>
          <w:sz w:val="16"/>
        </w:rPr>
      </w:pPr>
    </w:p>
    <w:p>
      <w:pPr>
        <w:pStyle w:val="BodyText"/>
        <w:rPr>
          <w:b/>
          <w:i/>
          <w:sz w:val="16"/>
        </w:rPr>
      </w:pPr>
    </w:p>
    <w:p>
      <w:pPr>
        <w:pStyle w:val="BodyText"/>
        <w:spacing w:before="6"/>
        <w:rPr>
          <w:b/>
          <w:i/>
          <w:sz w:val="23"/>
        </w:rPr>
      </w:pPr>
    </w:p>
    <w:p>
      <w:pPr>
        <w:spacing w:before="0"/>
        <w:ind w:left="767" w:right="0" w:firstLine="0"/>
        <w:jc w:val="left"/>
        <w:rPr>
          <w:b/>
          <w:i/>
          <w:sz w:val="14"/>
        </w:rPr>
      </w:pPr>
      <w:r>
        <w:rPr>
          <w:b/>
          <w:i/>
          <w:w w:val="115"/>
          <w:sz w:val="14"/>
        </w:rPr>
        <w:t>Hawley Farmhouse granary</w:t>
      </w:r>
    </w:p>
    <w:p>
      <w:pPr>
        <w:spacing w:after="0"/>
        <w:jc w:val="left"/>
        <w:rPr>
          <w:sz w:val="14"/>
        </w:rPr>
        <w:sectPr>
          <w:type w:val="continuous"/>
          <w:pgSz w:w="11910" w:h="16840"/>
          <w:pgMar w:top="880" w:bottom="0" w:left="120" w:right="120"/>
          <w:cols w:num="2" w:equalWidth="0">
            <w:col w:w="7310" w:space="40"/>
            <w:col w:w="4320"/>
          </w:cols>
        </w:sectPr>
      </w:pPr>
    </w:p>
    <w:p>
      <w:pPr>
        <w:pStyle w:val="BodyText"/>
        <w:rPr>
          <w:b/>
          <w:i/>
        </w:rPr>
      </w:pPr>
      <w:r>
        <w:rPr/>
        <w:pict>
          <v:rect style="position:absolute;margin-left:0pt;margin-top:.00024pt;width:595.27557pt;height:841.88977pt;mso-position-horizontal-relative:page;mso-position-vertical-relative:page;z-index:-252311552" filled="true" fillcolor="#861d46" stroked="false">
            <v:fill type="solid"/>
            <w10:wrap type="none"/>
          </v:rect>
        </w:pict>
      </w:r>
      <w:r>
        <w:rPr/>
        <w:pict>
          <v:group style="position:absolute;margin-left:-.25pt;margin-top:42.519924pt;width:584.2pt;height:756.85pt;mso-position-horizontal-relative:page;mso-position-vertical-relative:page;z-index:-252310528" coordorigin="-5,850" coordsize="11684,15137">
            <v:shape style="position:absolute;left:0;top:855;width:11674;height:15127" coordorigin="0,855" coordsize="11674,15127" path="m11390,15982l0,15982,0,855,11390,855,11554,900,11638,997,11669,1095,11674,1139,11674,15699,11629,15863,11532,15947,11435,15978,11390,15982xe" filled="true" fillcolor="#ffffff" stroked="false">
              <v:path arrowok="t"/>
              <v:fill type="solid"/>
            </v:shape>
            <v:shape style="position:absolute;left:0;top:855;width:11674;height:15127" coordorigin="0,855" coordsize="11674,15127" path="m0,15982l7831,15982,11390,15982,11435,15978,11532,15947,11629,15863,11674,15699,11674,13424,11674,8419,11674,3414,11674,1139,11669,1095,11638,997,11554,900,11390,855,7831,855,0,855e" filled="false" stroked="true" strokeweight=".5pt" strokecolor="#000000">
              <v:path arrowok="t"/>
              <v:stroke dashstyle="solid"/>
            </v:shape>
            <v:shape style="position:absolute;left:7954;top:2821;width:3385;height:2552" type="#_x0000_t75" stroked="false">
              <v:imagedata r:id="rId11" o:title=""/>
            </v:shape>
            <v:shape style="position:absolute;left:7954;top:5979;width:3385;height:2552" type="#_x0000_t75" stroked="false">
              <v:imagedata r:id="rId12" o:title=""/>
            </v:shape>
            <w10:wrap type="none"/>
          </v:group>
        </w:pict>
      </w:r>
    </w:p>
    <w:p>
      <w:pPr>
        <w:pStyle w:val="BodyText"/>
        <w:rPr>
          <w:b/>
          <w:i/>
        </w:rPr>
      </w:pPr>
    </w:p>
    <w:p>
      <w:pPr>
        <w:pStyle w:val="BodyText"/>
        <w:rPr>
          <w:b/>
          <w:i/>
        </w:rPr>
      </w:pPr>
    </w:p>
    <w:p>
      <w:pPr>
        <w:pStyle w:val="BodyText"/>
        <w:rPr>
          <w:b/>
          <w:i/>
        </w:rPr>
      </w:pPr>
    </w:p>
    <w:p>
      <w:pPr>
        <w:pStyle w:val="BodyText"/>
        <w:spacing w:before="11"/>
        <w:rPr>
          <w:b/>
          <w:i/>
          <w:sz w:val="24"/>
        </w:rPr>
      </w:pPr>
    </w:p>
    <w:p>
      <w:pPr>
        <w:pStyle w:val="Heading2"/>
        <w:tabs>
          <w:tab w:pos="3444" w:val="left" w:leader="none"/>
        </w:tabs>
        <w:ind w:right="104"/>
        <w:jc w:val="right"/>
        <w:rPr>
          <w:b w:val="0"/>
          <w:sz w:val="24"/>
        </w:rPr>
      </w:pPr>
      <w:r>
        <w:rPr>
          <w:color w:val="FFFFFF"/>
          <w:w w:val="110"/>
        </w:rPr>
        <w:t>Church</w:t>
      </w:r>
      <w:r>
        <w:rPr>
          <w:color w:val="FFFFFF"/>
          <w:spacing w:val="32"/>
          <w:w w:val="110"/>
        </w:rPr>
        <w:t> </w:t>
      </w:r>
      <w:r>
        <w:rPr>
          <w:color w:val="FFFFFF"/>
          <w:w w:val="110"/>
        </w:rPr>
        <w:t>Road,</w:t>
      </w:r>
      <w:r>
        <w:rPr>
          <w:color w:val="FFFFFF"/>
          <w:spacing w:val="32"/>
          <w:w w:val="110"/>
        </w:rPr>
        <w:t> </w:t>
      </w:r>
      <w:r>
        <w:rPr>
          <w:color w:val="FFFFFF"/>
          <w:spacing w:val="-6"/>
          <w:w w:val="110"/>
        </w:rPr>
        <w:t>Tadley</w:t>
        <w:tab/>
      </w:r>
      <w:r>
        <w:rPr>
          <w:b w:val="0"/>
          <w:color w:val="FFFFFF"/>
          <w:w w:val="105"/>
          <w:position w:val="2"/>
          <w:sz w:val="24"/>
        </w:rPr>
        <w:t>5</w:t>
      </w:r>
    </w:p>
    <w:p>
      <w:pPr>
        <w:spacing w:after="0"/>
        <w:jc w:val="right"/>
        <w:rPr>
          <w:sz w:val="24"/>
        </w:rPr>
        <w:sectPr>
          <w:type w:val="continuous"/>
          <w:pgSz w:w="11910" w:h="16840"/>
          <w:pgMar w:top="880" w:bottom="0" w:left="120" w:right="120"/>
        </w:sectPr>
      </w:pPr>
    </w:p>
    <w:p>
      <w:pPr>
        <w:pStyle w:val="Heading3"/>
      </w:pPr>
      <w:r>
        <w:rPr>
          <w:color w:val="FFFFFF"/>
          <w:w w:val="105"/>
        </w:rPr>
        <w:t>Conservation Area Appraisal</w:t>
      </w:r>
    </w:p>
    <w:p>
      <w:pPr>
        <w:pStyle w:val="BodyText"/>
      </w:pPr>
    </w:p>
    <w:p>
      <w:pPr>
        <w:pStyle w:val="BodyText"/>
      </w:pPr>
    </w:p>
    <w:p>
      <w:pPr>
        <w:pStyle w:val="BodyText"/>
      </w:pPr>
    </w:p>
    <w:p>
      <w:pPr>
        <w:pStyle w:val="BodyText"/>
      </w:pPr>
    </w:p>
    <w:p>
      <w:pPr>
        <w:pStyle w:val="BodyText"/>
      </w:pPr>
    </w:p>
    <w:p>
      <w:pPr>
        <w:pStyle w:val="BodyText"/>
        <w:spacing w:before="11"/>
        <w:rPr>
          <w:sz w:val="23"/>
        </w:rPr>
      </w:pPr>
    </w:p>
    <w:p>
      <w:pPr>
        <w:spacing w:after="0"/>
        <w:rPr>
          <w:sz w:val="23"/>
        </w:rPr>
        <w:sectPr>
          <w:pgSz w:w="11910" w:h="16840"/>
          <w:pgMar w:top="160" w:bottom="0" w:left="120" w:right="120"/>
        </w:sect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3"/>
        <w:rPr>
          <w:sz w:val="13"/>
        </w:rPr>
      </w:pPr>
    </w:p>
    <w:p>
      <w:pPr>
        <w:spacing w:before="1"/>
        <w:ind w:left="0" w:right="0" w:firstLine="0"/>
        <w:jc w:val="right"/>
        <w:rPr>
          <w:b/>
          <w:i/>
          <w:sz w:val="14"/>
        </w:rPr>
      </w:pPr>
      <w:r>
        <w:rPr>
          <w:b/>
          <w:i/>
          <w:w w:val="110"/>
          <w:sz w:val="14"/>
        </w:rPr>
        <w:t>Hatch</w:t>
      </w:r>
      <w:r>
        <w:rPr>
          <w:b/>
          <w:i/>
          <w:spacing w:val="27"/>
          <w:w w:val="110"/>
          <w:sz w:val="14"/>
        </w:rPr>
        <w:t> </w:t>
      </w:r>
      <w:r>
        <w:rPr>
          <w:b/>
          <w:i/>
          <w:w w:val="110"/>
          <w:sz w:val="14"/>
        </w:rPr>
        <w:t>Cottage</w:t>
      </w:r>
    </w:p>
    <w:p>
      <w:pPr>
        <w:pStyle w:val="BodyText"/>
        <w:rPr>
          <w:b/>
          <w:i/>
          <w:sz w:val="16"/>
        </w:rPr>
      </w:pPr>
    </w:p>
    <w:p>
      <w:pPr>
        <w:pStyle w:val="BodyText"/>
        <w:rPr>
          <w:b/>
          <w:i/>
          <w:sz w:val="16"/>
        </w:rPr>
      </w:pPr>
    </w:p>
    <w:p>
      <w:pPr>
        <w:pStyle w:val="BodyText"/>
        <w:rPr>
          <w:b/>
          <w:i/>
          <w:sz w:val="16"/>
        </w:rPr>
      </w:pPr>
    </w:p>
    <w:p>
      <w:pPr>
        <w:pStyle w:val="BodyText"/>
        <w:rPr>
          <w:b/>
          <w:i/>
          <w:sz w:val="16"/>
        </w:rPr>
      </w:pPr>
    </w:p>
    <w:p>
      <w:pPr>
        <w:pStyle w:val="BodyText"/>
        <w:rPr>
          <w:b/>
          <w:i/>
          <w:sz w:val="16"/>
        </w:rPr>
      </w:pPr>
    </w:p>
    <w:p>
      <w:pPr>
        <w:pStyle w:val="BodyText"/>
        <w:rPr>
          <w:b/>
          <w:i/>
          <w:sz w:val="16"/>
        </w:rPr>
      </w:pPr>
    </w:p>
    <w:p>
      <w:pPr>
        <w:pStyle w:val="BodyText"/>
        <w:rPr>
          <w:b/>
          <w:i/>
          <w:sz w:val="16"/>
        </w:rPr>
      </w:pPr>
    </w:p>
    <w:p>
      <w:pPr>
        <w:pStyle w:val="BodyText"/>
        <w:rPr>
          <w:b/>
          <w:i/>
          <w:sz w:val="16"/>
        </w:rPr>
      </w:pPr>
    </w:p>
    <w:p>
      <w:pPr>
        <w:pStyle w:val="BodyText"/>
        <w:rPr>
          <w:b/>
          <w:i/>
          <w:sz w:val="16"/>
        </w:rPr>
      </w:pPr>
    </w:p>
    <w:p>
      <w:pPr>
        <w:pStyle w:val="BodyText"/>
        <w:rPr>
          <w:b/>
          <w:i/>
          <w:sz w:val="16"/>
        </w:rPr>
      </w:pPr>
    </w:p>
    <w:p>
      <w:pPr>
        <w:pStyle w:val="BodyText"/>
        <w:rPr>
          <w:b/>
          <w:i/>
          <w:sz w:val="16"/>
        </w:rPr>
      </w:pPr>
    </w:p>
    <w:p>
      <w:pPr>
        <w:pStyle w:val="BodyText"/>
        <w:rPr>
          <w:b/>
          <w:i/>
          <w:sz w:val="16"/>
        </w:rPr>
      </w:pPr>
    </w:p>
    <w:p>
      <w:pPr>
        <w:pStyle w:val="BodyText"/>
        <w:rPr>
          <w:b/>
          <w:i/>
          <w:sz w:val="16"/>
        </w:rPr>
      </w:pPr>
    </w:p>
    <w:p>
      <w:pPr>
        <w:pStyle w:val="BodyText"/>
        <w:rPr>
          <w:b/>
          <w:i/>
          <w:sz w:val="16"/>
        </w:rPr>
      </w:pPr>
    </w:p>
    <w:p>
      <w:pPr>
        <w:pStyle w:val="BodyText"/>
        <w:spacing w:before="6"/>
        <w:rPr>
          <w:b/>
          <w:i/>
          <w:sz w:val="23"/>
        </w:rPr>
      </w:pPr>
    </w:p>
    <w:p>
      <w:pPr>
        <w:spacing w:before="0"/>
        <w:ind w:left="0" w:right="0" w:firstLine="0"/>
        <w:jc w:val="right"/>
        <w:rPr>
          <w:b/>
          <w:i/>
          <w:sz w:val="14"/>
        </w:rPr>
      </w:pPr>
      <w:r>
        <w:rPr>
          <w:b/>
          <w:i/>
          <w:w w:val="115"/>
          <w:sz w:val="14"/>
        </w:rPr>
        <w:t>View to Hawley</w:t>
      </w:r>
      <w:r>
        <w:rPr>
          <w:b/>
          <w:i/>
          <w:spacing w:val="-6"/>
          <w:w w:val="115"/>
          <w:sz w:val="14"/>
        </w:rPr>
        <w:t> </w:t>
      </w:r>
      <w:r>
        <w:rPr>
          <w:b/>
          <w:i/>
          <w:w w:val="115"/>
          <w:sz w:val="14"/>
        </w:rPr>
        <w:t>Farmhouse</w:t>
      </w:r>
    </w:p>
    <w:p>
      <w:pPr>
        <w:pStyle w:val="Heading2"/>
        <w:spacing w:before="94"/>
        <w:ind w:left="701"/>
      </w:pPr>
      <w:r>
        <w:rPr>
          <w:b w:val="0"/>
        </w:rPr>
        <w:br w:type="column"/>
      </w:r>
      <w:r>
        <w:rPr>
          <w:w w:val="115"/>
        </w:rPr>
        <w:t>Significant Groups of Buildings</w:t>
      </w:r>
    </w:p>
    <w:p>
      <w:pPr>
        <w:pStyle w:val="BodyText"/>
        <w:spacing w:line="276" w:lineRule="auto" w:before="146"/>
        <w:ind w:left="701" w:right="1123"/>
      </w:pPr>
      <w:r>
        <w:rPr>
          <w:w w:val="105"/>
        </w:rPr>
        <w:t>Situated a short distance apart, in the middle of the Conservation Area, are Pound Farmhouse and Barn Close House. Pound Farmhouse dates from the late 18th century and is a two-storey  building  with  a  tiled roof. The walling is red brick in Flemish bond, and there is a massive chimneystack at the west end. The windows are all casements with leaded lights and cast iron frames. Barn Close House dates from the 18th </w:t>
      </w:r>
      <w:r>
        <w:rPr>
          <w:spacing w:val="-3"/>
          <w:w w:val="105"/>
        </w:rPr>
        <w:t>century, </w:t>
      </w:r>
      <w:r>
        <w:rPr>
          <w:w w:val="105"/>
        </w:rPr>
        <w:t>with 1878 alterations by Reverend Saulez to become the earliest known </w:t>
      </w:r>
      <w:r>
        <w:rPr>
          <w:spacing w:val="-3"/>
          <w:w w:val="105"/>
        </w:rPr>
        <w:t>rectory. </w:t>
      </w:r>
      <w:r>
        <w:rPr>
          <w:w w:val="105"/>
        </w:rPr>
        <w:t>It is of two-storeys with a tiled roof and tapered end chimneystacks. The walling is roughcast with end pilasters and cambered window and door openings. The casements have pointed, coupled lights with rectangular frames, and there is evidence of an earlier timber- framed</w:t>
      </w:r>
      <w:r>
        <w:rPr>
          <w:spacing w:val="12"/>
          <w:w w:val="105"/>
        </w:rPr>
        <w:t> </w:t>
      </w:r>
      <w:r>
        <w:rPr>
          <w:w w:val="105"/>
        </w:rPr>
        <w:t>structure.</w:t>
      </w:r>
    </w:p>
    <w:p>
      <w:pPr>
        <w:pStyle w:val="BodyText"/>
        <w:rPr>
          <w:sz w:val="22"/>
        </w:rPr>
      </w:pPr>
    </w:p>
    <w:p>
      <w:pPr>
        <w:pStyle w:val="Heading2"/>
        <w:spacing w:before="138"/>
        <w:ind w:left="701"/>
      </w:pPr>
      <w:r>
        <w:rPr>
          <w:w w:val="115"/>
        </w:rPr>
        <w:t>Building Materials</w:t>
      </w:r>
    </w:p>
    <w:p>
      <w:pPr>
        <w:pStyle w:val="BodyText"/>
        <w:spacing w:line="276" w:lineRule="auto" w:before="145"/>
        <w:ind w:left="701" w:right="1532"/>
        <w:jc w:val="both"/>
      </w:pPr>
      <w:r>
        <w:rPr>
          <w:w w:val="105"/>
        </w:rPr>
        <w:t>The</w:t>
      </w:r>
      <w:r>
        <w:rPr>
          <w:spacing w:val="-7"/>
          <w:w w:val="105"/>
        </w:rPr>
        <w:t> </w:t>
      </w:r>
      <w:r>
        <w:rPr>
          <w:w w:val="105"/>
        </w:rPr>
        <w:t>buildings</w:t>
      </w:r>
      <w:r>
        <w:rPr>
          <w:spacing w:val="-6"/>
          <w:w w:val="105"/>
        </w:rPr>
        <w:t> </w:t>
      </w:r>
      <w:r>
        <w:rPr>
          <w:w w:val="105"/>
        </w:rPr>
        <w:t>within</w:t>
      </w:r>
      <w:r>
        <w:rPr>
          <w:spacing w:val="-6"/>
          <w:w w:val="105"/>
        </w:rPr>
        <w:t> </w:t>
      </w:r>
      <w:r>
        <w:rPr>
          <w:w w:val="105"/>
        </w:rPr>
        <w:t>the</w:t>
      </w:r>
      <w:r>
        <w:rPr>
          <w:spacing w:val="-6"/>
          <w:w w:val="105"/>
        </w:rPr>
        <w:t> </w:t>
      </w:r>
      <w:r>
        <w:rPr>
          <w:w w:val="105"/>
        </w:rPr>
        <w:t>Conservation</w:t>
      </w:r>
      <w:r>
        <w:rPr>
          <w:spacing w:val="-6"/>
          <w:w w:val="105"/>
        </w:rPr>
        <w:t> </w:t>
      </w:r>
      <w:r>
        <w:rPr>
          <w:spacing w:val="-3"/>
          <w:w w:val="105"/>
        </w:rPr>
        <w:t>Area</w:t>
      </w:r>
      <w:r>
        <w:rPr>
          <w:spacing w:val="-6"/>
          <w:w w:val="105"/>
        </w:rPr>
        <w:t> </w:t>
      </w:r>
      <w:r>
        <w:rPr>
          <w:w w:val="105"/>
        </w:rPr>
        <w:t>demonstrate</w:t>
      </w:r>
      <w:r>
        <w:rPr>
          <w:spacing w:val="-6"/>
          <w:w w:val="105"/>
        </w:rPr>
        <w:t> </w:t>
      </w:r>
      <w:r>
        <w:rPr>
          <w:w w:val="105"/>
        </w:rPr>
        <w:t>the</w:t>
      </w:r>
      <w:r>
        <w:rPr>
          <w:spacing w:val="-6"/>
          <w:w w:val="105"/>
        </w:rPr>
        <w:t> </w:t>
      </w:r>
      <w:r>
        <w:rPr>
          <w:w w:val="105"/>
        </w:rPr>
        <w:t>range</w:t>
      </w:r>
      <w:r>
        <w:rPr>
          <w:spacing w:val="-6"/>
          <w:w w:val="105"/>
        </w:rPr>
        <w:t> </w:t>
      </w:r>
      <w:r>
        <w:rPr>
          <w:w w:val="105"/>
        </w:rPr>
        <w:t>of vernacular</w:t>
      </w:r>
      <w:r>
        <w:rPr>
          <w:spacing w:val="-17"/>
          <w:w w:val="105"/>
        </w:rPr>
        <w:t> </w:t>
      </w:r>
      <w:r>
        <w:rPr>
          <w:w w:val="105"/>
        </w:rPr>
        <w:t>materials</w:t>
      </w:r>
      <w:r>
        <w:rPr>
          <w:spacing w:val="-16"/>
          <w:w w:val="105"/>
        </w:rPr>
        <w:t> </w:t>
      </w:r>
      <w:r>
        <w:rPr>
          <w:spacing w:val="-3"/>
          <w:w w:val="105"/>
        </w:rPr>
        <w:t>prevalent</w:t>
      </w:r>
      <w:r>
        <w:rPr>
          <w:spacing w:val="-16"/>
          <w:w w:val="105"/>
        </w:rPr>
        <w:t> </w:t>
      </w:r>
      <w:r>
        <w:rPr>
          <w:spacing w:val="-3"/>
          <w:w w:val="105"/>
        </w:rPr>
        <w:t>throughout</w:t>
      </w:r>
      <w:r>
        <w:rPr>
          <w:spacing w:val="-17"/>
          <w:w w:val="105"/>
        </w:rPr>
        <w:t> </w:t>
      </w:r>
      <w:r>
        <w:rPr>
          <w:w w:val="105"/>
        </w:rPr>
        <w:t>all</w:t>
      </w:r>
      <w:r>
        <w:rPr>
          <w:spacing w:val="-16"/>
          <w:w w:val="105"/>
        </w:rPr>
        <w:t> </w:t>
      </w:r>
      <w:r>
        <w:rPr>
          <w:w w:val="105"/>
        </w:rPr>
        <w:t>periods</w:t>
      </w:r>
      <w:r>
        <w:rPr>
          <w:spacing w:val="-16"/>
          <w:w w:val="105"/>
        </w:rPr>
        <w:t> </w:t>
      </w:r>
      <w:r>
        <w:rPr>
          <w:w w:val="105"/>
        </w:rPr>
        <w:t>of</w:t>
      </w:r>
      <w:r>
        <w:rPr>
          <w:spacing w:val="-17"/>
          <w:w w:val="105"/>
        </w:rPr>
        <w:t> </w:t>
      </w:r>
      <w:r>
        <w:rPr>
          <w:w w:val="105"/>
        </w:rPr>
        <w:t>development. The</w:t>
      </w:r>
      <w:r>
        <w:rPr>
          <w:spacing w:val="-7"/>
          <w:w w:val="105"/>
        </w:rPr>
        <w:t> </w:t>
      </w:r>
      <w:r>
        <w:rPr>
          <w:spacing w:val="-3"/>
          <w:w w:val="105"/>
        </w:rPr>
        <w:t>retention</w:t>
      </w:r>
      <w:r>
        <w:rPr>
          <w:spacing w:val="-6"/>
          <w:w w:val="105"/>
        </w:rPr>
        <w:t> </w:t>
      </w:r>
      <w:r>
        <w:rPr>
          <w:w w:val="105"/>
        </w:rPr>
        <w:t>of</w:t>
      </w:r>
      <w:r>
        <w:rPr>
          <w:spacing w:val="-7"/>
          <w:w w:val="105"/>
        </w:rPr>
        <w:t> </w:t>
      </w:r>
      <w:r>
        <w:rPr>
          <w:w w:val="105"/>
        </w:rPr>
        <w:t>thatch</w:t>
      </w:r>
      <w:r>
        <w:rPr>
          <w:spacing w:val="-6"/>
          <w:w w:val="105"/>
        </w:rPr>
        <w:t> </w:t>
      </w:r>
      <w:r>
        <w:rPr>
          <w:w w:val="105"/>
        </w:rPr>
        <w:t>as</w:t>
      </w:r>
      <w:r>
        <w:rPr>
          <w:spacing w:val="-7"/>
          <w:w w:val="105"/>
        </w:rPr>
        <w:t> </w:t>
      </w:r>
      <w:r>
        <w:rPr>
          <w:w w:val="105"/>
        </w:rPr>
        <w:t>a</w:t>
      </w:r>
      <w:r>
        <w:rPr>
          <w:spacing w:val="-6"/>
          <w:w w:val="105"/>
        </w:rPr>
        <w:t> </w:t>
      </w:r>
      <w:r>
        <w:rPr>
          <w:spacing w:val="-3"/>
          <w:w w:val="105"/>
        </w:rPr>
        <w:t>roofing</w:t>
      </w:r>
      <w:r>
        <w:rPr>
          <w:spacing w:val="-7"/>
          <w:w w:val="105"/>
        </w:rPr>
        <w:t> </w:t>
      </w:r>
      <w:r>
        <w:rPr>
          <w:w w:val="105"/>
        </w:rPr>
        <w:t>material</w:t>
      </w:r>
      <w:r>
        <w:rPr>
          <w:spacing w:val="-6"/>
          <w:w w:val="105"/>
        </w:rPr>
        <w:t> </w:t>
      </w:r>
      <w:r>
        <w:rPr>
          <w:w w:val="105"/>
        </w:rPr>
        <w:t>is</w:t>
      </w:r>
      <w:r>
        <w:rPr>
          <w:spacing w:val="-7"/>
          <w:w w:val="105"/>
        </w:rPr>
        <w:t> </w:t>
      </w:r>
      <w:r>
        <w:rPr>
          <w:w w:val="105"/>
        </w:rPr>
        <w:t>especially</w:t>
      </w:r>
      <w:r>
        <w:rPr>
          <w:spacing w:val="-6"/>
          <w:w w:val="105"/>
        </w:rPr>
        <w:t> </w:t>
      </w:r>
      <w:r>
        <w:rPr>
          <w:w w:val="105"/>
        </w:rPr>
        <w:t>important</w:t>
      </w:r>
      <w:r>
        <w:rPr>
          <w:spacing w:val="-7"/>
          <w:w w:val="105"/>
        </w:rPr>
        <w:t> </w:t>
      </w:r>
      <w:r>
        <w:rPr>
          <w:w w:val="105"/>
        </w:rPr>
        <w:t>in maintaining the distinctive character of the</w:t>
      </w:r>
      <w:r>
        <w:rPr>
          <w:spacing w:val="30"/>
          <w:w w:val="105"/>
        </w:rPr>
        <w:t> </w:t>
      </w:r>
      <w:r>
        <w:rPr>
          <w:spacing w:val="-3"/>
          <w:w w:val="105"/>
        </w:rPr>
        <w:t>area.</w:t>
      </w:r>
    </w:p>
    <w:p>
      <w:pPr>
        <w:pStyle w:val="BodyText"/>
        <w:spacing w:before="4"/>
        <w:rPr>
          <w:sz w:val="18"/>
        </w:rPr>
      </w:pPr>
    </w:p>
    <w:p>
      <w:pPr>
        <w:pStyle w:val="BodyText"/>
        <w:spacing w:line="276" w:lineRule="auto"/>
        <w:ind w:left="701" w:right="1168"/>
      </w:pPr>
      <w:r>
        <w:rPr/>
        <w:t>Given the domestic scale and simple </w:t>
      </w:r>
      <w:r>
        <w:rPr>
          <w:spacing w:val="-3"/>
        </w:rPr>
        <w:t>provincial architecture  </w:t>
      </w:r>
      <w:r>
        <w:rPr/>
        <w:t>of the buildings  in the Conservation </w:t>
      </w:r>
      <w:r>
        <w:rPr>
          <w:spacing w:val="-3"/>
        </w:rPr>
        <w:t>Area, </w:t>
      </w:r>
      <w:r>
        <w:rPr/>
        <w:t>historic  joinery  (such  as  sash  windows,  doors and door hoods) often defines the appearance  of  </w:t>
      </w:r>
      <w:r>
        <w:rPr>
          <w:spacing w:val="-3"/>
        </w:rPr>
        <w:t>properties.  </w:t>
      </w:r>
      <w:r>
        <w:rPr/>
        <w:t>This  is  also the case for the </w:t>
      </w:r>
      <w:r>
        <w:rPr>
          <w:spacing w:val="-3"/>
        </w:rPr>
        <w:t>more </w:t>
      </w:r>
      <w:r>
        <w:rPr/>
        <w:t>grand or </w:t>
      </w:r>
      <w:r>
        <w:rPr>
          <w:spacing w:val="-3"/>
        </w:rPr>
        <w:t>ordered </w:t>
      </w:r>
      <w:r>
        <w:rPr/>
        <w:t>elevations as at Hawley Farmhouse </w:t>
      </w:r>
      <w:r>
        <w:rPr>
          <w:spacing w:val="-3"/>
        </w:rPr>
        <w:t>where </w:t>
      </w:r>
      <w:r>
        <w:rPr/>
        <w:t>the arrangement of sash windows is key to the </w:t>
      </w:r>
      <w:r>
        <w:rPr>
          <w:spacing w:val="-3"/>
        </w:rPr>
        <w:t>architectural </w:t>
      </w:r>
      <w:r>
        <w:rPr/>
        <w:t>design. Although some buildings have been modernised, the use and overall </w:t>
      </w:r>
      <w:r>
        <w:rPr>
          <w:spacing w:val="-3"/>
        </w:rPr>
        <w:t>effect   </w:t>
      </w:r>
      <w:r>
        <w:rPr/>
        <w:t>of </w:t>
      </w:r>
      <w:r>
        <w:rPr>
          <w:spacing w:val="-3"/>
        </w:rPr>
        <w:t>inappropriate replacement </w:t>
      </w:r>
      <w:r>
        <w:rPr/>
        <w:t>windows and doors is</w:t>
      </w:r>
      <w:r>
        <w:rPr>
          <w:spacing w:val="27"/>
        </w:rPr>
        <w:t> </w:t>
      </w:r>
      <w:r>
        <w:rPr/>
        <w:t>limited.</w:t>
      </w:r>
    </w:p>
    <w:p>
      <w:pPr>
        <w:pStyle w:val="BodyText"/>
        <w:rPr>
          <w:sz w:val="22"/>
        </w:rPr>
      </w:pPr>
    </w:p>
    <w:p>
      <w:pPr>
        <w:pStyle w:val="Heading2"/>
        <w:spacing w:line="273" w:lineRule="auto" w:before="142"/>
        <w:ind w:left="701" w:right="1270"/>
      </w:pPr>
      <w:r>
        <w:rPr>
          <w:w w:val="110"/>
        </w:rPr>
        <w:t>The Character and Importance of Public and Private Spaces</w:t>
      </w:r>
    </w:p>
    <w:p>
      <w:pPr>
        <w:pStyle w:val="BodyText"/>
        <w:spacing w:line="276" w:lineRule="auto" w:before="90"/>
        <w:ind w:left="701" w:right="1168"/>
      </w:pPr>
      <w:r>
        <w:rPr>
          <w:w w:val="105"/>
        </w:rPr>
        <w:t>The open spaces in the Conservation Area are extremely important as they create the pattern of settlement and reinforce its historic rural character and appearance. The open areas surrounding Hawley Farm allow it to remain in its traditional rural setting. There is an area of countryside between Barn Close House in the north, and Hatch Cottage in the south. This provide extensive views across the surrounding landscape to the south-west and west. There are also restricted views to the east and north.</w:t>
      </w:r>
    </w:p>
    <w:p>
      <w:pPr>
        <w:pStyle w:val="BodyText"/>
        <w:spacing w:before="1"/>
        <w:rPr>
          <w:sz w:val="18"/>
        </w:rPr>
      </w:pPr>
    </w:p>
    <w:p>
      <w:pPr>
        <w:pStyle w:val="BodyText"/>
        <w:spacing w:line="276" w:lineRule="auto"/>
        <w:ind w:left="701" w:right="1230"/>
      </w:pPr>
      <w:r>
        <w:rPr>
          <w:w w:val="105"/>
        </w:rPr>
        <w:t>Smaller cultivated areas, such as gardens, also create important settings to the many buildings set back from Church Road. The uncurved verges along parts of the road help define the residential character of the  road. Mature trees are planted around the Conservation Area, both singly</w:t>
      </w:r>
      <w:r>
        <w:rPr>
          <w:spacing w:val="8"/>
          <w:w w:val="105"/>
        </w:rPr>
        <w:t> </w:t>
      </w:r>
      <w:r>
        <w:rPr>
          <w:w w:val="105"/>
        </w:rPr>
        <w:t>and</w:t>
      </w:r>
      <w:r>
        <w:rPr>
          <w:spacing w:val="9"/>
          <w:w w:val="105"/>
        </w:rPr>
        <w:t> </w:t>
      </w:r>
      <w:r>
        <w:rPr>
          <w:w w:val="105"/>
        </w:rPr>
        <w:t>in</w:t>
      </w:r>
      <w:r>
        <w:rPr>
          <w:spacing w:val="8"/>
          <w:w w:val="105"/>
        </w:rPr>
        <w:t> </w:t>
      </w:r>
      <w:r>
        <w:rPr>
          <w:w w:val="105"/>
        </w:rPr>
        <w:t>avenues.</w:t>
      </w:r>
      <w:r>
        <w:rPr>
          <w:spacing w:val="9"/>
          <w:w w:val="105"/>
        </w:rPr>
        <w:t> </w:t>
      </w:r>
      <w:r>
        <w:rPr>
          <w:w w:val="105"/>
        </w:rPr>
        <w:t>They</w:t>
      </w:r>
      <w:r>
        <w:rPr>
          <w:spacing w:val="8"/>
          <w:w w:val="105"/>
        </w:rPr>
        <w:t> </w:t>
      </w:r>
      <w:r>
        <w:rPr>
          <w:w w:val="105"/>
        </w:rPr>
        <w:t>line</w:t>
      </w:r>
      <w:r>
        <w:rPr>
          <w:spacing w:val="9"/>
          <w:w w:val="105"/>
        </w:rPr>
        <w:t> </w:t>
      </w:r>
      <w:r>
        <w:rPr>
          <w:w w:val="105"/>
        </w:rPr>
        <w:t>the</w:t>
      </w:r>
      <w:r>
        <w:rPr>
          <w:spacing w:val="8"/>
          <w:w w:val="105"/>
        </w:rPr>
        <w:t> </w:t>
      </w:r>
      <w:r>
        <w:rPr>
          <w:w w:val="105"/>
        </w:rPr>
        <w:t>roadside</w:t>
      </w:r>
      <w:r>
        <w:rPr>
          <w:spacing w:val="9"/>
          <w:w w:val="105"/>
        </w:rPr>
        <w:t> </w:t>
      </w:r>
      <w:r>
        <w:rPr>
          <w:w w:val="105"/>
        </w:rPr>
        <w:t>along</w:t>
      </w:r>
      <w:r>
        <w:rPr>
          <w:spacing w:val="9"/>
          <w:w w:val="105"/>
        </w:rPr>
        <w:t> </w:t>
      </w:r>
      <w:r>
        <w:rPr>
          <w:w w:val="105"/>
        </w:rPr>
        <w:t>Church</w:t>
      </w:r>
      <w:r>
        <w:rPr>
          <w:spacing w:val="8"/>
          <w:w w:val="105"/>
        </w:rPr>
        <w:t> </w:t>
      </w:r>
      <w:r>
        <w:rPr>
          <w:w w:val="105"/>
        </w:rPr>
        <w:t>Brook,</w:t>
      </w:r>
      <w:r>
        <w:rPr>
          <w:spacing w:val="9"/>
          <w:w w:val="105"/>
        </w:rPr>
        <w:t> </w:t>
      </w:r>
      <w:r>
        <w:rPr>
          <w:w w:val="105"/>
        </w:rPr>
        <w:t>and</w:t>
      </w:r>
    </w:p>
    <w:p>
      <w:pPr>
        <w:spacing w:after="0" w:line="276" w:lineRule="auto"/>
        <w:sectPr>
          <w:type w:val="continuous"/>
          <w:pgSz w:w="11910" w:h="16840"/>
          <w:pgMar w:top="880" w:bottom="0" w:left="120" w:right="120"/>
          <w:cols w:num="2" w:equalWidth="0">
            <w:col w:w="3534" w:space="40"/>
            <w:col w:w="8096"/>
          </w:cols>
        </w:sectPr>
      </w:pPr>
    </w:p>
    <w:p>
      <w:pPr>
        <w:pStyle w:val="BodyText"/>
      </w:pPr>
      <w:r>
        <w:rPr/>
        <w:pict>
          <v:rect style="position:absolute;margin-left:-.000004pt;margin-top:.00024pt;width:595.273484pt;height:841.88977pt;mso-position-horizontal-relative:page;mso-position-vertical-relative:page;z-index:-252309504" filled="true" fillcolor="#861d46" stroked="false">
            <v:fill type="solid"/>
            <w10:wrap type="none"/>
          </v:rect>
        </w:pict>
      </w:r>
      <w:r>
        <w:rPr/>
        <w:pict>
          <v:group style="position:absolute;margin-left:11.33856pt;margin-top:42.519924pt;width:584.2pt;height:756.85pt;mso-position-horizontal-relative:page;mso-position-vertical-relative:page;z-index:-252308480" coordorigin="227,850" coordsize="11684,15137">
            <v:shape style="position:absolute;left:231;top:855;width:11674;height:15127" coordorigin="232,855" coordsize="11674,15127" path="m11906,15982l515,15982,351,15938,267,15841,236,15743,232,15699,232,1139,276,975,374,891,471,860,515,855,11906,855,11906,15982xe" filled="true" fillcolor="#ffffff" stroked="false">
              <v:path arrowok="t"/>
              <v:fill type="solid"/>
            </v:shape>
            <v:shape style="position:absolute;left:-11674;top:9274;width:11674;height:15127" coordorigin="-11674,9274" coordsize="11674,15127" path="m515,855l471,860,374,891,276,975,232,1139,232,3414,232,8419,232,13424,232,15699,236,15743,267,15841,351,15938,515,15982,4075,15982,11906,15982m11906,855l4075,855,515,855e" filled="false" stroked="true" strokeweight=".5pt" strokecolor="#000000">
              <v:path arrowok="t"/>
              <v:stroke dashstyle="solid"/>
            </v:shape>
            <v:shape style="position:absolute;left:566;top:2821;width:3378;height:2552" type="#_x0000_t75" stroked="false">
              <v:imagedata r:id="rId13" o:title=""/>
            </v:shape>
            <v:shape style="position:absolute;left:566;top:5979;width:3378;height:2552" type="#_x0000_t75" stroked="false">
              <v:imagedata r:id="rId14" o:title=""/>
            </v:shape>
            <w10:wrap type="none"/>
          </v:group>
        </w:pict>
      </w:r>
    </w:p>
    <w:p>
      <w:pPr>
        <w:pStyle w:val="BodyText"/>
        <w:spacing w:before="2"/>
        <w:rPr>
          <w:sz w:val="17"/>
        </w:rPr>
      </w:pPr>
    </w:p>
    <w:p>
      <w:pPr>
        <w:pStyle w:val="Heading2"/>
        <w:tabs>
          <w:tab w:pos="560" w:val="left" w:leader="none"/>
        </w:tabs>
        <w:ind w:left="106"/>
      </w:pPr>
      <w:r>
        <w:rPr>
          <w:b w:val="0"/>
          <w:color w:val="FFFFFF"/>
          <w:w w:val="110"/>
          <w:position w:val="2"/>
          <w:sz w:val="24"/>
        </w:rPr>
        <w:t>6</w:t>
        <w:tab/>
      </w:r>
      <w:r>
        <w:rPr>
          <w:color w:val="FFFFFF"/>
          <w:w w:val="110"/>
        </w:rPr>
        <w:t>Church Road,</w:t>
      </w:r>
      <w:r>
        <w:rPr>
          <w:color w:val="FFFFFF"/>
          <w:spacing w:val="36"/>
          <w:w w:val="110"/>
        </w:rPr>
        <w:t> </w:t>
      </w:r>
      <w:r>
        <w:rPr>
          <w:color w:val="FFFFFF"/>
          <w:spacing w:val="-6"/>
          <w:w w:val="110"/>
        </w:rPr>
        <w:t>Tadley</w:t>
      </w:r>
    </w:p>
    <w:p>
      <w:pPr>
        <w:spacing w:after="0"/>
        <w:sectPr>
          <w:type w:val="continuous"/>
          <w:pgSz w:w="11910" w:h="16840"/>
          <w:pgMar w:top="880" w:bottom="0" w:left="120" w:right="120"/>
        </w:sectPr>
      </w:pPr>
    </w:p>
    <w:p>
      <w:pPr>
        <w:pStyle w:val="Heading3"/>
        <w:ind w:left="7050"/>
      </w:pPr>
      <w:r>
        <w:rPr>
          <w:color w:val="FFFFFF"/>
          <w:w w:val="105"/>
        </w:rPr>
        <w:t>Conservation Area Appraisal</w:t>
      </w:r>
    </w:p>
    <w:p>
      <w:pPr>
        <w:pStyle w:val="BodyText"/>
      </w:pPr>
    </w:p>
    <w:p>
      <w:pPr>
        <w:pStyle w:val="BodyText"/>
      </w:pPr>
    </w:p>
    <w:p>
      <w:pPr>
        <w:pStyle w:val="BodyText"/>
      </w:pPr>
    </w:p>
    <w:p>
      <w:pPr>
        <w:pStyle w:val="BodyText"/>
      </w:pPr>
    </w:p>
    <w:p>
      <w:pPr>
        <w:pStyle w:val="BodyText"/>
      </w:pPr>
    </w:p>
    <w:p>
      <w:pPr>
        <w:pStyle w:val="BodyText"/>
        <w:spacing w:before="1"/>
        <w:rPr>
          <w:sz w:val="26"/>
        </w:rPr>
      </w:pPr>
    </w:p>
    <w:p>
      <w:pPr>
        <w:pStyle w:val="BodyText"/>
        <w:spacing w:line="276" w:lineRule="auto" w:before="92"/>
        <w:ind w:left="1013" w:right="4436"/>
      </w:pPr>
      <w:r>
        <w:rPr>
          <w:w w:val="105"/>
        </w:rPr>
        <w:t>are also in plantations to the west of the area. The verdant character    of the Conservation Area, together with the narrow lanes and hedges (particularly towards the church), restricts long views. Ash and oak are the dominant species, with birch, willow, </w:t>
      </w:r>
      <w:r>
        <w:rPr>
          <w:spacing w:val="-4"/>
          <w:w w:val="105"/>
        </w:rPr>
        <w:t>alder, </w:t>
      </w:r>
      <w:r>
        <w:rPr>
          <w:w w:val="105"/>
        </w:rPr>
        <w:t>walnut, beech, holly and robinia. Scots pine and yew trees are also present. Generally the tree cover</w:t>
      </w:r>
      <w:r>
        <w:rPr>
          <w:spacing w:val="6"/>
          <w:w w:val="105"/>
        </w:rPr>
        <w:t> </w:t>
      </w:r>
      <w:r>
        <w:rPr>
          <w:w w:val="105"/>
        </w:rPr>
        <w:t>in</w:t>
      </w:r>
      <w:r>
        <w:rPr>
          <w:spacing w:val="6"/>
          <w:w w:val="105"/>
        </w:rPr>
        <w:t> </w:t>
      </w:r>
      <w:r>
        <w:rPr>
          <w:w w:val="105"/>
        </w:rPr>
        <w:t>the</w:t>
      </w:r>
      <w:r>
        <w:rPr>
          <w:spacing w:val="6"/>
          <w:w w:val="105"/>
        </w:rPr>
        <w:t> </w:t>
      </w:r>
      <w:r>
        <w:rPr>
          <w:w w:val="105"/>
        </w:rPr>
        <w:t>Conservation</w:t>
      </w:r>
      <w:r>
        <w:rPr>
          <w:spacing w:val="6"/>
          <w:w w:val="105"/>
        </w:rPr>
        <w:t> </w:t>
      </w:r>
      <w:r>
        <w:rPr>
          <w:w w:val="105"/>
        </w:rPr>
        <w:t>Area</w:t>
      </w:r>
      <w:r>
        <w:rPr>
          <w:spacing w:val="6"/>
          <w:w w:val="105"/>
        </w:rPr>
        <w:t> </w:t>
      </w:r>
      <w:r>
        <w:rPr>
          <w:w w:val="105"/>
        </w:rPr>
        <w:t>is</w:t>
      </w:r>
      <w:r>
        <w:rPr>
          <w:spacing w:val="6"/>
          <w:w w:val="105"/>
        </w:rPr>
        <w:t> </w:t>
      </w:r>
      <w:r>
        <w:rPr>
          <w:w w:val="105"/>
        </w:rPr>
        <w:t>broadleaved</w:t>
      </w:r>
      <w:r>
        <w:rPr>
          <w:spacing w:val="7"/>
          <w:w w:val="105"/>
        </w:rPr>
        <w:t> </w:t>
      </w:r>
      <w:r>
        <w:rPr>
          <w:w w:val="105"/>
        </w:rPr>
        <w:t>in</w:t>
      </w:r>
      <w:r>
        <w:rPr>
          <w:spacing w:val="6"/>
          <w:w w:val="105"/>
        </w:rPr>
        <w:t> </w:t>
      </w:r>
      <w:r>
        <w:rPr>
          <w:w w:val="105"/>
        </w:rPr>
        <w:t>character</w:t>
      </w:r>
      <w:r>
        <w:rPr>
          <w:spacing w:val="6"/>
          <w:w w:val="105"/>
        </w:rPr>
        <w:t> </w:t>
      </w:r>
      <w:r>
        <w:rPr>
          <w:w w:val="105"/>
        </w:rPr>
        <w:t>with</w:t>
      </w:r>
      <w:r>
        <w:rPr>
          <w:spacing w:val="6"/>
          <w:w w:val="105"/>
        </w:rPr>
        <w:t> </w:t>
      </w:r>
      <w:r>
        <w:rPr>
          <w:w w:val="105"/>
        </w:rPr>
        <w:t>only</w:t>
      </w:r>
    </w:p>
    <w:p>
      <w:pPr>
        <w:pStyle w:val="BodyText"/>
        <w:spacing w:line="276" w:lineRule="auto"/>
        <w:ind w:left="1013" w:right="4575"/>
      </w:pPr>
      <w:r>
        <w:rPr>
          <w:w w:val="105"/>
        </w:rPr>
        <w:t>a few conifers scattered around. The verges to the roads are generally hedge-lined, with some hedgerow trees in evidence, creating a tunnel- like effect.</w:t>
      </w:r>
    </w:p>
    <w:p>
      <w:pPr>
        <w:pStyle w:val="BodyText"/>
        <w:spacing w:before="9"/>
        <w:rPr>
          <w:sz w:val="25"/>
        </w:rPr>
      </w:pPr>
    </w:p>
    <w:p>
      <w:pPr>
        <w:spacing w:after="0"/>
        <w:rPr>
          <w:sz w:val="25"/>
        </w:rPr>
        <w:sectPr>
          <w:pgSz w:w="11910" w:h="16840"/>
          <w:pgMar w:top="160" w:bottom="0" w:left="120" w:right="120"/>
        </w:sectPr>
      </w:pPr>
    </w:p>
    <w:p>
      <w:pPr>
        <w:pStyle w:val="Heading2"/>
        <w:ind w:left="1013"/>
      </w:pPr>
      <w:r>
        <w:rPr>
          <w:w w:val="115"/>
        </w:rPr>
        <w:t>The Setting of the Conservation Area</w:t>
      </w:r>
    </w:p>
    <w:p>
      <w:pPr>
        <w:pStyle w:val="BodyText"/>
        <w:spacing w:line="276" w:lineRule="auto" w:before="145"/>
        <w:ind w:left="1013" w:right="214"/>
      </w:pPr>
      <w:r>
        <w:rPr>
          <w:spacing w:val="-4"/>
          <w:w w:val="105"/>
        </w:rPr>
        <w:t>The </w:t>
      </w:r>
      <w:r>
        <w:rPr>
          <w:spacing w:val="-5"/>
          <w:w w:val="105"/>
        </w:rPr>
        <w:t>Conservation Area </w:t>
      </w:r>
      <w:r>
        <w:rPr>
          <w:spacing w:val="-4"/>
          <w:w w:val="105"/>
        </w:rPr>
        <w:t>has two very </w:t>
      </w:r>
      <w:r>
        <w:rPr>
          <w:spacing w:val="-6"/>
          <w:w w:val="105"/>
        </w:rPr>
        <w:t>different </w:t>
      </w:r>
      <w:r>
        <w:rPr>
          <w:spacing w:val="-5"/>
          <w:w w:val="105"/>
        </w:rPr>
        <w:t>neighbouring areas. </w:t>
      </w:r>
      <w:r>
        <w:rPr>
          <w:spacing w:val="-4"/>
          <w:w w:val="105"/>
        </w:rPr>
        <w:t>They   </w:t>
      </w:r>
      <w:r>
        <w:rPr>
          <w:spacing w:val="-5"/>
          <w:w w:val="105"/>
        </w:rPr>
        <w:t>are </w:t>
      </w:r>
      <w:r>
        <w:rPr>
          <w:spacing w:val="-4"/>
          <w:w w:val="105"/>
        </w:rPr>
        <w:t>the post- war </w:t>
      </w:r>
      <w:r>
        <w:rPr>
          <w:spacing w:val="-5"/>
          <w:w w:val="105"/>
        </w:rPr>
        <w:t>development </w:t>
      </w:r>
      <w:r>
        <w:rPr>
          <w:spacing w:val="-3"/>
          <w:w w:val="105"/>
        </w:rPr>
        <w:t>of </w:t>
      </w:r>
      <w:r>
        <w:rPr>
          <w:spacing w:val="-8"/>
          <w:w w:val="105"/>
        </w:rPr>
        <w:t>Tadley </w:t>
      </w:r>
      <w:r>
        <w:rPr>
          <w:spacing w:val="-3"/>
          <w:w w:val="105"/>
        </w:rPr>
        <w:t>to </w:t>
      </w:r>
      <w:r>
        <w:rPr>
          <w:spacing w:val="-4"/>
          <w:w w:val="105"/>
        </w:rPr>
        <w:t>the east and </w:t>
      </w:r>
      <w:r>
        <w:rPr>
          <w:spacing w:val="-5"/>
          <w:w w:val="105"/>
        </w:rPr>
        <w:t>north, </w:t>
      </w:r>
      <w:r>
        <w:rPr>
          <w:spacing w:val="-4"/>
          <w:w w:val="105"/>
        </w:rPr>
        <w:t>and the open </w:t>
      </w:r>
      <w:r>
        <w:rPr>
          <w:spacing w:val="-5"/>
          <w:w w:val="105"/>
        </w:rPr>
        <w:t>countryside </w:t>
      </w:r>
      <w:r>
        <w:rPr>
          <w:spacing w:val="-3"/>
          <w:w w:val="105"/>
        </w:rPr>
        <w:t>to </w:t>
      </w:r>
      <w:r>
        <w:rPr>
          <w:spacing w:val="-4"/>
          <w:w w:val="105"/>
        </w:rPr>
        <w:t>the south and west. The </w:t>
      </w:r>
      <w:r>
        <w:rPr>
          <w:spacing w:val="-5"/>
          <w:w w:val="105"/>
        </w:rPr>
        <w:t>area </w:t>
      </w:r>
      <w:r>
        <w:rPr>
          <w:spacing w:val="-3"/>
          <w:w w:val="105"/>
        </w:rPr>
        <w:t>is </w:t>
      </w:r>
      <w:r>
        <w:rPr>
          <w:spacing w:val="-6"/>
          <w:w w:val="105"/>
        </w:rPr>
        <w:t>therefore </w:t>
      </w:r>
      <w:r>
        <w:rPr>
          <w:spacing w:val="-5"/>
          <w:w w:val="105"/>
        </w:rPr>
        <w:t>visible, </w:t>
      </w:r>
      <w:r>
        <w:rPr>
          <w:spacing w:val="-3"/>
          <w:w w:val="105"/>
        </w:rPr>
        <w:t>if</w:t>
      </w:r>
      <w:r>
        <w:rPr>
          <w:spacing w:val="-9"/>
          <w:w w:val="105"/>
        </w:rPr>
        <w:t> </w:t>
      </w:r>
      <w:r>
        <w:rPr>
          <w:spacing w:val="-4"/>
          <w:w w:val="105"/>
        </w:rPr>
        <w:t>not</w:t>
      </w:r>
    </w:p>
    <w:p>
      <w:pPr>
        <w:pStyle w:val="BodyText"/>
        <w:spacing w:line="276" w:lineRule="auto"/>
        <w:ind w:left="1013" w:right="-16"/>
      </w:pPr>
      <w:r>
        <w:rPr>
          <w:spacing w:val="-5"/>
          <w:w w:val="105"/>
        </w:rPr>
        <w:t>discernable, </w:t>
      </w:r>
      <w:r>
        <w:rPr>
          <w:spacing w:val="-3"/>
          <w:w w:val="105"/>
        </w:rPr>
        <w:t>as </w:t>
      </w:r>
      <w:r>
        <w:rPr>
          <w:w w:val="105"/>
        </w:rPr>
        <w:t>a </w:t>
      </w:r>
      <w:r>
        <w:rPr>
          <w:spacing w:val="-5"/>
          <w:w w:val="105"/>
        </w:rPr>
        <w:t>distinctive </w:t>
      </w:r>
      <w:r>
        <w:rPr>
          <w:spacing w:val="-4"/>
          <w:w w:val="105"/>
        </w:rPr>
        <w:t>place </w:t>
      </w:r>
      <w:r>
        <w:rPr>
          <w:spacing w:val="-5"/>
          <w:w w:val="105"/>
        </w:rPr>
        <w:t>from </w:t>
      </w:r>
      <w:r>
        <w:rPr>
          <w:spacing w:val="-4"/>
          <w:w w:val="105"/>
        </w:rPr>
        <w:t>the </w:t>
      </w:r>
      <w:r>
        <w:rPr>
          <w:spacing w:val="-5"/>
          <w:w w:val="105"/>
        </w:rPr>
        <w:t>countryside </w:t>
      </w:r>
      <w:r>
        <w:rPr>
          <w:spacing w:val="-4"/>
          <w:w w:val="105"/>
        </w:rPr>
        <w:t>and can </w:t>
      </w:r>
      <w:r>
        <w:rPr>
          <w:spacing w:val="-3"/>
          <w:w w:val="105"/>
        </w:rPr>
        <w:t>be </w:t>
      </w:r>
      <w:r>
        <w:rPr>
          <w:spacing w:val="-4"/>
          <w:w w:val="105"/>
        </w:rPr>
        <w:t>seen when </w:t>
      </w:r>
      <w:r>
        <w:rPr>
          <w:spacing w:val="-5"/>
          <w:w w:val="105"/>
        </w:rPr>
        <w:t>approached from </w:t>
      </w:r>
      <w:r>
        <w:rPr>
          <w:spacing w:val="-11"/>
          <w:w w:val="105"/>
        </w:rPr>
        <w:t>Tadley. </w:t>
      </w:r>
      <w:r>
        <w:rPr>
          <w:spacing w:val="-5"/>
          <w:w w:val="105"/>
        </w:rPr>
        <w:t>Little </w:t>
      </w:r>
      <w:r>
        <w:rPr>
          <w:spacing w:val="-3"/>
          <w:w w:val="105"/>
        </w:rPr>
        <w:t>of </w:t>
      </w:r>
      <w:r>
        <w:rPr>
          <w:spacing w:val="-4"/>
          <w:w w:val="105"/>
        </w:rPr>
        <w:t>its </w:t>
      </w:r>
      <w:r>
        <w:rPr>
          <w:spacing w:val="-5"/>
          <w:w w:val="105"/>
        </w:rPr>
        <w:t>surroundings </w:t>
      </w:r>
      <w:r>
        <w:rPr>
          <w:spacing w:val="-4"/>
          <w:w w:val="105"/>
        </w:rPr>
        <w:t>can </w:t>
      </w:r>
      <w:r>
        <w:rPr>
          <w:spacing w:val="-3"/>
          <w:w w:val="105"/>
        </w:rPr>
        <w:t>be </w:t>
      </w:r>
      <w:r>
        <w:rPr>
          <w:spacing w:val="-5"/>
          <w:w w:val="105"/>
        </w:rPr>
        <w:t>viewed from inside </w:t>
      </w:r>
      <w:r>
        <w:rPr>
          <w:spacing w:val="-4"/>
          <w:w w:val="105"/>
        </w:rPr>
        <w:t>the </w:t>
      </w:r>
      <w:r>
        <w:rPr>
          <w:spacing w:val="-5"/>
          <w:w w:val="105"/>
        </w:rPr>
        <w:t>Conservation Area. </w:t>
      </w:r>
      <w:r>
        <w:rPr>
          <w:spacing w:val="-4"/>
          <w:w w:val="105"/>
        </w:rPr>
        <w:t>This </w:t>
      </w:r>
      <w:r>
        <w:rPr>
          <w:spacing w:val="-3"/>
          <w:w w:val="105"/>
        </w:rPr>
        <w:t>is </w:t>
      </w:r>
      <w:r>
        <w:rPr>
          <w:spacing w:val="-4"/>
          <w:w w:val="105"/>
        </w:rPr>
        <w:t>due </w:t>
      </w:r>
      <w:r>
        <w:rPr>
          <w:spacing w:val="-3"/>
          <w:w w:val="105"/>
        </w:rPr>
        <w:t>to </w:t>
      </w:r>
      <w:r>
        <w:rPr>
          <w:spacing w:val="-4"/>
          <w:w w:val="105"/>
        </w:rPr>
        <w:t>the </w:t>
      </w:r>
      <w:r>
        <w:rPr>
          <w:spacing w:val="-5"/>
          <w:w w:val="105"/>
        </w:rPr>
        <w:t>combination </w:t>
      </w:r>
      <w:r>
        <w:rPr>
          <w:spacing w:val="-3"/>
          <w:w w:val="105"/>
        </w:rPr>
        <w:t>of </w:t>
      </w:r>
      <w:r>
        <w:rPr>
          <w:spacing w:val="-4"/>
          <w:w w:val="105"/>
        </w:rPr>
        <w:t>the tall and dense </w:t>
      </w:r>
      <w:r>
        <w:rPr>
          <w:spacing w:val="-5"/>
          <w:w w:val="105"/>
        </w:rPr>
        <w:t>wooded areas </w:t>
      </w:r>
      <w:r>
        <w:rPr>
          <w:spacing w:val="-3"/>
          <w:w w:val="105"/>
        </w:rPr>
        <w:t>on </w:t>
      </w:r>
      <w:r>
        <w:rPr>
          <w:spacing w:val="-4"/>
          <w:w w:val="105"/>
        </w:rPr>
        <w:t>the </w:t>
      </w:r>
      <w:r>
        <w:rPr>
          <w:spacing w:val="-5"/>
          <w:w w:val="105"/>
        </w:rPr>
        <w:t>edges, </w:t>
      </w:r>
      <w:r>
        <w:rPr>
          <w:spacing w:val="-4"/>
          <w:w w:val="105"/>
        </w:rPr>
        <w:t>and the lack </w:t>
      </w:r>
      <w:r>
        <w:rPr>
          <w:spacing w:val="-3"/>
          <w:w w:val="105"/>
        </w:rPr>
        <w:t>of </w:t>
      </w:r>
      <w:r>
        <w:rPr>
          <w:spacing w:val="-4"/>
          <w:w w:val="105"/>
        </w:rPr>
        <w:t>any </w:t>
      </w:r>
      <w:r>
        <w:rPr>
          <w:spacing w:val="-5"/>
          <w:w w:val="105"/>
        </w:rPr>
        <w:t>topographical features </w:t>
      </w:r>
      <w:r>
        <w:rPr>
          <w:spacing w:val="-3"/>
          <w:w w:val="105"/>
        </w:rPr>
        <w:t>of </w:t>
      </w:r>
      <w:r>
        <w:rPr>
          <w:spacing w:val="-4"/>
          <w:w w:val="105"/>
        </w:rPr>
        <w:t>note.</w:t>
      </w:r>
    </w:p>
    <w:p>
      <w:pPr>
        <w:pStyle w:val="BodyText"/>
        <w:rPr>
          <w:sz w:val="22"/>
        </w:rPr>
      </w:pPr>
    </w:p>
    <w:p>
      <w:pPr>
        <w:pStyle w:val="Heading2"/>
        <w:spacing w:before="141"/>
        <w:ind w:left="1013"/>
      </w:pPr>
      <w:r>
        <w:rPr>
          <w:w w:val="115"/>
        </w:rPr>
        <w:t>Areas of Archaeological Significance</w:t>
      </w:r>
    </w:p>
    <w:p>
      <w:pPr>
        <w:pStyle w:val="BodyText"/>
        <w:spacing w:line="276" w:lineRule="auto" w:before="146"/>
        <w:ind w:left="1013"/>
      </w:pPr>
      <w:r>
        <w:rPr>
          <w:spacing w:val="-3"/>
          <w:w w:val="105"/>
        </w:rPr>
        <w:t>Every settlement contains within </w:t>
      </w:r>
      <w:r>
        <w:rPr>
          <w:w w:val="105"/>
        </w:rPr>
        <w:t>it </w:t>
      </w:r>
      <w:r>
        <w:rPr>
          <w:spacing w:val="-4"/>
          <w:w w:val="105"/>
        </w:rPr>
        <w:t>archaeological </w:t>
      </w:r>
      <w:r>
        <w:rPr>
          <w:spacing w:val="-3"/>
          <w:w w:val="105"/>
        </w:rPr>
        <w:t>evidence </w:t>
      </w:r>
      <w:r>
        <w:rPr>
          <w:w w:val="105"/>
        </w:rPr>
        <w:t>of its </w:t>
      </w:r>
      <w:r>
        <w:rPr>
          <w:spacing w:val="-3"/>
          <w:w w:val="105"/>
        </w:rPr>
        <w:t>origins</w:t>
      </w:r>
      <w:r>
        <w:rPr>
          <w:spacing w:val="-24"/>
          <w:w w:val="105"/>
        </w:rPr>
        <w:t> </w:t>
      </w:r>
      <w:r>
        <w:rPr>
          <w:w w:val="105"/>
        </w:rPr>
        <w:t>and </w:t>
      </w:r>
      <w:r>
        <w:rPr>
          <w:spacing w:val="-3"/>
          <w:w w:val="105"/>
        </w:rPr>
        <w:t>development, </w:t>
      </w:r>
      <w:r>
        <w:rPr>
          <w:w w:val="105"/>
        </w:rPr>
        <w:t>the </w:t>
      </w:r>
      <w:r>
        <w:rPr>
          <w:spacing w:val="-3"/>
          <w:w w:val="105"/>
        </w:rPr>
        <w:t>economy </w:t>
      </w:r>
      <w:r>
        <w:rPr>
          <w:w w:val="105"/>
        </w:rPr>
        <w:t>and </w:t>
      </w:r>
      <w:r>
        <w:rPr>
          <w:spacing w:val="-3"/>
          <w:w w:val="105"/>
        </w:rPr>
        <w:t>industry </w:t>
      </w:r>
      <w:r>
        <w:rPr>
          <w:w w:val="105"/>
        </w:rPr>
        <w:t>of the </w:t>
      </w:r>
      <w:r>
        <w:rPr>
          <w:spacing w:val="-3"/>
          <w:w w:val="105"/>
        </w:rPr>
        <w:t>community </w:t>
      </w:r>
      <w:r>
        <w:rPr>
          <w:w w:val="105"/>
        </w:rPr>
        <w:t>and of the </w:t>
      </w:r>
      <w:r>
        <w:rPr>
          <w:spacing w:val="-3"/>
          <w:w w:val="105"/>
        </w:rPr>
        <w:t>lives </w:t>
      </w:r>
      <w:r>
        <w:rPr>
          <w:w w:val="105"/>
        </w:rPr>
        <w:t>and </w:t>
      </w:r>
      <w:r>
        <w:rPr>
          <w:spacing w:val="-3"/>
          <w:w w:val="105"/>
        </w:rPr>
        <w:t>lifestyles </w:t>
      </w:r>
      <w:r>
        <w:rPr>
          <w:w w:val="105"/>
        </w:rPr>
        <w:t>of </w:t>
      </w:r>
      <w:r>
        <w:rPr>
          <w:spacing w:val="-3"/>
          <w:w w:val="105"/>
        </w:rPr>
        <w:t>past inhabitants. </w:t>
      </w:r>
      <w:r>
        <w:rPr>
          <w:w w:val="105"/>
        </w:rPr>
        <w:t>It is in the </w:t>
      </w:r>
      <w:r>
        <w:rPr>
          <w:spacing w:val="-4"/>
          <w:w w:val="105"/>
        </w:rPr>
        <w:t>Areas </w:t>
      </w:r>
      <w:r>
        <w:rPr>
          <w:w w:val="105"/>
        </w:rPr>
        <w:t>of </w:t>
      </w:r>
      <w:r>
        <w:rPr>
          <w:spacing w:val="-3"/>
          <w:w w:val="105"/>
        </w:rPr>
        <w:t>High </w:t>
      </w:r>
      <w:r>
        <w:rPr>
          <w:spacing w:val="-4"/>
          <w:w w:val="105"/>
        </w:rPr>
        <w:t>Archaeological </w:t>
      </w:r>
      <w:r>
        <w:rPr>
          <w:spacing w:val="-3"/>
          <w:w w:val="105"/>
        </w:rPr>
        <w:t>Importance (AHAP) that </w:t>
      </w:r>
      <w:r>
        <w:rPr>
          <w:w w:val="105"/>
        </w:rPr>
        <w:t>it is </w:t>
      </w:r>
      <w:r>
        <w:rPr>
          <w:spacing w:val="-3"/>
          <w:w w:val="105"/>
        </w:rPr>
        <w:t>most likely that such </w:t>
      </w:r>
      <w:r>
        <w:rPr>
          <w:spacing w:val="-4"/>
          <w:w w:val="105"/>
        </w:rPr>
        <w:t>archaeological remains  </w:t>
      </w:r>
      <w:r>
        <w:rPr>
          <w:spacing w:val="-3"/>
          <w:w w:val="105"/>
        </w:rPr>
        <w:t>will most likely </w:t>
      </w:r>
      <w:r>
        <w:rPr>
          <w:w w:val="105"/>
        </w:rPr>
        <w:t>be </w:t>
      </w:r>
      <w:r>
        <w:rPr>
          <w:spacing w:val="-4"/>
          <w:w w:val="105"/>
        </w:rPr>
        <w:t>encountered. Where </w:t>
      </w:r>
      <w:r>
        <w:rPr>
          <w:w w:val="105"/>
        </w:rPr>
        <w:t>a </w:t>
      </w:r>
      <w:r>
        <w:rPr>
          <w:spacing w:val="-3"/>
          <w:w w:val="105"/>
        </w:rPr>
        <w:t>development </w:t>
      </w:r>
      <w:r>
        <w:rPr>
          <w:w w:val="105"/>
        </w:rPr>
        <w:t>is </w:t>
      </w:r>
      <w:r>
        <w:rPr>
          <w:spacing w:val="-4"/>
          <w:w w:val="105"/>
        </w:rPr>
        <w:t>proposed, </w:t>
      </w:r>
      <w:r>
        <w:rPr>
          <w:w w:val="105"/>
        </w:rPr>
        <w:t>the </w:t>
      </w:r>
      <w:r>
        <w:rPr>
          <w:spacing w:val="-3"/>
          <w:w w:val="105"/>
        </w:rPr>
        <w:t>impact that </w:t>
      </w:r>
      <w:r>
        <w:rPr>
          <w:w w:val="105"/>
        </w:rPr>
        <w:t>it </w:t>
      </w:r>
      <w:r>
        <w:rPr>
          <w:spacing w:val="-3"/>
          <w:w w:val="105"/>
        </w:rPr>
        <w:t>might have </w:t>
      </w:r>
      <w:r>
        <w:rPr>
          <w:w w:val="105"/>
        </w:rPr>
        <w:t>on </w:t>
      </w:r>
      <w:r>
        <w:rPr>
          <w:spacing w:val="-3"/>
          <w:w w:val="105"/>
        </w:rPr>
        <w:t>these </w:t>
      </w:r>
      <w:r>
        <w:rPr>
          <w:spacing w:val="-4"/>
          <w:w w:val="105"/>
        </w:rPr>
        <w:t>remains </w:t>
      </w:r>
      <w:r>
        <w:rPr>
          <w:w w:val="105"/>
        </w:rPr>
        <w:t>is a </w:t>
      </w:r>
      <w:r>
        <w:rPr>
          <w:spacing w:val="-3"/>
          <w:w w:val="105"/>
        </w:rPr>
        <w:t>material consideration within </w:t>
      </w:r>
      <w:r>
        <w:rPr>
          <w:w w:val="105"/>
        </w:rPr>
        <w:t>the </w:t>
      </w:r>
      <w:r>
        <w:rPr>
          <w:spacing w:val="-3"/>
          <w:w w:val="105"/>
        </w:rPr>
        <w:t>planning </w:t>
      </w:r>
      <w:r>
        <w:rPr>
          <w:spacing w:val="-4"/>
          <w:w w:val="105"/>
        </w:rPr>
        <w:t>process. </w:t>
      </w:r>
      <w:r>
        <w:rPr>
          <w:spacing w:val="-3"/>
          <w:w w:val="105"/>
        </w:rPr>
        <w:t>This </w:t>
      </w:r>
      <w:r>
        <w:rPr>
          <w:w w:val="105"/>
        </w:rPr>
        <w:t>may </w:t>
      </w:r>
      <w:r>
        <w:rPr>
          <w:spacing w:val="-3"/>
          <w:w w:val="105"/>
        </w:rPr>
        <w:t>occasionally </w:t>
      </w:r>
      <w:r>
        <w:rPr>
          <w:spacing w:val="-4"/>
          <w:w w:val="105"/>
        </w:rPr>
        <w:t>result </w:t>
      </w:r>
      <w:r>
        <w:rPr>
          <w:w w:val="105"/>
        </w:rPr>
        <w:t>in the </w:t>
      </w:r>
      <w:r>
        <w:rPr>
          <w:spacing w:val="-3"/>
          <w:w w:val="105"/>
        </w:rPr>
        <w:t>need </w:t>
      </w:r>
      <w:r>
        <w:rPr>
          <w:w w:val="105"/>
        </w:rPr>
        <w:t>for </w:t>
      </w:r>
      <w:r>
        <w:rPr>
          <w:spacing w:val="-4"/>
          <w:w w:val="105"/>
        </w:rPr>
        <w:t>archaeological recording </w:t>
      </w:r>
      <w:r>
        <w:rPr>
          <w:w w:val="105"/>
        </w:rPr>
        <w:t>in the </w:t>
      </w:r>
      <w:r>
        <w:rPr>
          <w:spacing w:val="-3"/>
          <w:w w:val="105"/>
        </w:rPr>
        <w:t>case </w:t>
      </w:r>
      <w:r>
        <w:rPr>
          <w:w w:val="105"/>
        </w:rPr>
        <w:t>of </w:t>
      </w:r>
      <w:r>
        <w:rPr>
          <w:spacing w:val="-3"/>
          <w:w w:val="105"/>
        </w:rPr>
        <w:t>some</w:t>
      </w:r>
      <w:r>
        <w:rPr>
          <w:spacing w:val="1"/>
          <w:w w:val="105"/>
        </w:rPr>
        <w:t> </w:t>
      </w:r>
      <w:r>
        <w:rPr>
          <w:spacing w:val="-3"/>
          <w:w w:val="105"/>
        </w:rPr>
        <w:t>developments.</w:t>
      </w:r>
    </w:p>
    <w:p>
      <w:pPr>
        <w:pStyle w:val="BodyText"/>
        <w:rPr>
          <w:sz w:val="18"/>
        </w:rPr>
      </w:pPr>
    </w:p>
    <w:p>
      <w:pPr>
        <w:pStyle w:val="BodyText"/>
        <w:spacing w:line="276" w:lineRule="auto" w:before="1"/>
        <w:ind w:left="1013" w:right="103"/>
      </w:pPr>
      <w:r>
        <w:rPr>
          <w:w w:val="105"/>
        </w:rPr>
        <w:t>The archaeological significance or potential of the Conservation Area has yet to be identified. </w:t>
      </w:r>
      <w:r>
        <w:rPr>
          <w:spacing w:val="-3"/>
          <w:w w:val="105"/>
        </w:rPr>
        <w:t>However, </w:t>
      </w:r>
      <w:r>
        <w:rPr>
          <w:w w:val="105"/>
        </w:rPr>
        <w:t>the possible historical development of </w:t>
      </w:r>
      <w:r>
        <w:rPr>
          <w:spacing w:val="-4"/>
          <w:w w:val="105"/>
        </w:rPr>
        <w:t>Tadley </w:t>
      </w:r>
      <w:r>
        <w:rPr>
          <w:w w:val="105"/>
        </w:rPr>
        <w:t>suggests that an area in the vicinity of the church may have been the origin of the settlement.</w:t>
      </w:r>
    </w:p>
    <w:p>
      <w:pPr>
        <w:pStyle w:val="BodyText"/>
        <w:rPr>
          <w:sz w:val="16"/>
        </w:rPr>
      </w:pPr>
      <w:r>
        <w:rPr/>
        <w:br w:type="column"/>
      </w:r>
      <w:r>
        <w:rPr>
          <w:sz w:val="16"/>
        </w:rPr>
      </w:r>
    </w:p>
    <w:p>
      <w:pPr>
        <w:spacing w:before="132"/>
        <w:ind w:left="763" w:right="0" w:firstLine="0"/>
        <w:jc w:val="left"/>
        <w:rPr>
          <w:b/>
          <w:i/>
          <w:sz w:val="14"/>
        </w:rPr>
      </w:pPr>
      <w:r>
        <w:rPr>
          <w:b/>
          <w:i/>
          <w:w w:val="115"/>
          <w:sz w:val="14"/>
        </w:rPr>
        <w:t>Low Bridge on Church Road</w:t>
      </w:r>
    </w:p>
    <w:p>
      <w:pPr>
        <w:pStyle w:val="BodyText"/>
        <w:rPr>
          <w:b/>
          <w:i/>
          <w:sz w:val="16"/>
        </w:rPr>
      </w:pPr>
    </w:p>
    <w:p>
      <w:pPr>
        <w:pStyle w:val="BodyText"/>
        <w:rPr>
          <w:b/>
          <w:i/>
          <w:sz w:val="16"/>
        </w:rPr>
      </w:pPr>
    </w:p>
    <w:p>
      <w:pPr>
        <w:pStyle w:val="BodyText"/>
        <w:rPr>
          <w:b/>
          <w:i/>
          <w:sz w:val="16"/>
        </w:rPr>
      </w:pPr>
    </w:p>
    <w:p>
      <w:pPr>
        <w:pStyle w:val="BodyText"/>
        <w:rPr>
          <w:b/>
          <w:i/>
          <w:sz w:val="16"/>
        </w:rPr>
      </w:pPr>
    </w:p>
    <w:p>
      <w:pPr>
        <w:pStyle w:val="BodyText"/>
        <w:rPr>
          <w:b/>
          <w:i/>
          <w:sz w:val="16"/>
        </w:rPr>
      </w:pPr>
    </w:p>
    <w:p>
      <w:pPr>
        <w:pStyle w:val="BodyText"/>
        <w:rPr>
          <w:b/>
          <w:i/>
          <w:sz w:val="16"/>
        </w:rPr>
      </w:pPr>
    </w:p>
    <w:p>
      <w:pPr>
        <w:pStyle w:val="BodyText"/>
        <w:rPr>
          <w:b/>
          <w:i/>
          <w:sz w:val="16"/>
        </w:rPr>
      </w:pPr>
    </w:p>
    <w:p>
      <w:pPr>
        <w:pStyle w:val="BodyText"/>
        <w:rPr>
          <w:b/>
          <w:i/>
          <w:sz w:val="16"/>
        </w:rPr>
      </w:pPr>
    </w:p>
    <w:p>
      <w:pPr>
        <w:pStyle w:val="BodyText"/>
        <w:rPr>
          <w:b/>
          <w:i/>
          <w:sz w:val="16"/>
        </w:rPr>
      </w:pPr>
    </w:p>
    <w:p>
      <w:pPr>
        <w:pStyle w:val="BodyText"/>
        <w:rPr>
          <w:b/>
          <w:i/>
          <w:sz w:val="16"/>
        </w:rPr>
      </w:pPr>
    </w:p>
    <w:p>
      <w:pPr>
        <w:pStyle w:val="BodyText"/>
        <w:rPr>
          <w:b/>
          <w:i/>
          <w:sz w:val="16"/>
        </w:rPr>
      </w:pPr>
    </w:p>
    <w:p>
      <w:pPr>
        <w:pStyle w:val="BodyText"/>
        <w:rPr>
          <w:b/>
          <w:i/>
          <w:sz w:val="16"/>
        </w:rPr>
      </w:pPr>
    </w:p>
    <w:p>
      <w:pPr>
        <w:pStyle w:val="BodyText"/>
        <w:rPr>
          <w:b/>
          <w:i/>
          <w:sz w:val="16"/>
        </w:rPr>
      </w:pPr>
    </w:p>
    <w:p>
      <w:pPr>
        <w:pStyle w:val="BodyText"/>
        <w:rPr>
          <w:b/>
          <w:i/>
          <w:sz w:val="16"/>
        </w:rPr>
      </w:pPr>
    </w:p>
    <w:p>
      <w:pPr>
        <w:pStyle w:val="BodyText"/>
        <w:spacing w:before="12"/>
        <w:rPr>
          <w:b/>
          <w:i/>
          <w:sz w:val="21"/>
        </w:rPr>
      </w:pPr>
    </w:p>
    <w:p>
      <w:pPr>
        <w:spacing w:before="0"/>
        <w:ind w:left="763" w:right="0" w:firstLine="0"/>
        <w:jc w:val="left"/>
        <w:rPr>
          <w:b/>
          <w:i/>
          <w:sz w:val="14"/>
        </w:rPr>
      </w:pPr>
      <w:r>
        <w:rPr>
          <w:b/>
          <w:i/>
          <w:w w:val="115"/>
          <w:sz w:val="14"/>
        </w:rPr>
        <w:t>View along Church Brook</w:t>
      </w:r>
    </w:p>
    <w:p>
      <w:pPr>
        <w:spacing w:after="0"/>
        <w:jc w:val="left"/>
        <w:rPr>
          <w:sz w:val="14"/>
        </w:rPr>
        <w:sectPr>
          <w:type w:val="continuous"/>
          <w:pgSz w:w="11910" w:h="16840"/>
          <w:pgMar w:top="880" w:bottom="0" w:left="120" w:right="120"/>
          <w:cols w:num="2" w:equalWidth="0">
            <w:col w:w="7314" w:space="40"/>
            <w:col w:w="4316"/>
          </w:cols>
        </w:sectPr>
      </w:pPr>
    </w:p>
    <w:p>
      <w:pPr>
        <w:pStyle w:val="BodyText"/>
        <w:rPr>
          <w:b/>
          <w:i/>
        </w:rPr>
      </w:pPr>
      <w:r>
        <w:rPr/>
        <w:pict>
          <v:rect style="position:absolute;margin-left:0pt;margin-top:.00024pt;width:595.27557pt;height:841.88977pt;mso-position-horizontal-relative:page;mso-position-vertical-relative:page;z-index:-252307456" filled="true" fillcolor="#861d46" stroked="false">
            <v:fill type="solid"/>
            <w10:wrap type="none"/>
          </v:rect>
        </w:pict>
      </w:r>
      <w:r>
        <w:rPr/>
        <w:pict>
          <v:group style="position:absolute;margin-left:-.25pt;margin-top:42.519924pt;width:584.2pt;height:756.85pt;mso-position-horizontal-relative:page;mso-position-vertical-relative:page;z-index:-252306432" coordorigin="-5,850" coordsize="11684,15137">
            <v:shape style="position:absolute;left:0;top:855;width:11674;height:15127" coordorigin="0,855" coordsize="11674,15127" path="m11390,15982l0,15982,0,855,11390,855,11554,900,11638,997,11669,1095,11674,1139,11674,15699,11629,15863,11532,15947,11435,15978,11390,15982xe" filled="true" fillcolor="#ffffff" stroked="false">
              <v:path arrowok="t"/>
              <v:fill type="solid"/>
            </v:shape>
            <v:shape style="position:absolute;left:0;top:855;width:11674;height:15127" coordorigin="0,855" coordsize="11674,15127" path="m0,15982l7831,15982,11390,15982,11435,15978,11532,15947,11629,15863,11674,15699,11674,13424,11674,8419,11674,3414,11674,1139,11669,1095,11638,997,11554,900,11390,855,7831,855,0,855e" filled="false" stroked="true" strokeweight=".5pt" strokecolor="#000000">
              <v:path arrowok="t"/>
              <v:stroke dashstyle="solid"/>
            </v:shape>
            <v:shape style="position:absolute;left:7954;top:2821;width:3385;height:2552" type="#_x0000_t75" stroked="false">
              <v:imagedata r:id="rId15" o:title=""/>
            </v:shape>
            <v:shape style="position:absolute;left:7954;top:5979;width:3385;height:2552" type="#_x0000_t75" stroked="false">
              <v:imagedata r:id="rId16" o:title=""/>
            </v:shape>
            <w10:wrap type="none"/>
          </v:group>
        </w:pict>
      </w: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BodyText"/>
        <w:rPr>
          <w:b/>
          <w:i/>
        </w:rPr>
      </w:pPr>
    </w:p>
    <w:p>
      <w:pPr>
        <w:pStyle w:val="Heading2"/>
        <w:tabs>
          <w:tab w:pos="3444" w:val="left" w:leader="none"/>
        </w:tabs>
        <w:spacing w:before="274"/>
        <w:ind w:right="104"/>
        <w:jc w:val="right"/>
        <w:rPr>
          <w:b w:val="0"/>
          <w:sz w:val="24"/>
        </w:rPr>
      </w:pPr>
      <w:r>
        <w:rPr>
          <w:color w:val="FFFFFF"/>
          <w:w w:val="110"/>
        </w:rPr>
        <w:t>Church</w:t>
      </w:r>
      <w:r>
        <w:rPr>
          <w:color w:val="FFFFFF"/>
          <w:spacing w:val="32"/>
          <w:w w:val="110"/>
        </w:rPr>
        <w:t> </w:t>
      </w:r>
      <w:r>
        <w:rPr>
          <w:color w:val="FFFFFF"/>
          <w:w w:val="110"/>
        </w:rPr>
        <w:t>Road,</w:t>
      </w:r>
      <w:r>
        <w:rPr>
          <w:color w:val="FFFFFF"/>
          <w:spacing w:val="32"/>
          <w:w w:val="110"/>
        </w:rPr>
        <w:t> </w:t>
      </w:r>
      <w:r>
        <w:rPr>
          <w:color w:val="FFFFFF"/>
          <w:spacing w:val="-6"/>
          <w:w w:val="110"/>
        </w:rPr>
        <w:t>Tadley</w:t>
        <w:tab/>
      </w:r>
      <w:r>
        <w:rPr>
          <w:b w:val="0"/>
          <w:color w:val="FFFFFF"/>
          <w:w w:val="105"/>
          <w:position w:val="2"/>
          <w:sz w:val="24"/>
        </w:rPr>
        <w:t>7</w:t>
      </w:r>
    </w:p>
    <w:p>
      <w:pPr>
        <w:spacing w:after="0"/>
        <w:jc w:val="right"/>
        <w:rPr>
          <w:sz w:val="24"/>
        </w:rPr>
        <w:sectPr>
          <w:type w:val="continuous"/>
          <w:pgSz w:w="11910" w:h="16840"/>
          <w:pgMar w:top="880" w:bottom="0" w:left="120" w:right="120"/>
        </w:sectPr>
      </w:pPr>
    </w:p>
    <w:p>
      <w:pPr>
        <w:pStyle w:val="BodyText"/>
        <w:spacing w:before="2"/>
        <w:rPr>
          <w:sz w:val="11"/>
        </w:rPr>
      </w:pPr>
    </w:p>
    <w:p>
      <w:pPr>
        <w:pStyle w:val="Heading3"/>
        <w:spacing w:before="87"/>
      </w:pPr>
      <w:r>
        <w:rPr>
          <w:color w:val="FFFFFF"/>
          <w:w w:val="105"/>
        </w:rPr>
        <w:t>Conservation Area Appraisal</w:t>
      </w:r>
    </w:p>
    <w:p>
      <w:pPr>
        <w:pStyle w:val="BodyText"/>
      </w:pPr>
    </w:p>
    <w:p>
      <w:pPr>
        <w:pStyle w:val="BodyText"/>
      </w:pPr>
    </w:p>
    <w:p>
      <w:pPr>
        <w:pStyle w:val="BodyText"/>
      </w:pPr>
    </w:p>
    <w:p>
      <w:pPr>
        <w:pStyle w:val="BodyText"/>
      </w:pPr>
    </w:p>
    <w:p>
      <w:pPr>
        <w:pStyle w:val="BodyText"/>
      </w:pPr>
    </w:p>
    <w:p>
      <w:pPr>
        <w:pStyle w:val="BodyText"/>
        <w:spacing w:before="10"/>
        <w:rPr>
          <w:sz w:val="23"/>
        </w:rPr>
      </w:pPr>
    </w:p>
    <w:p>
      <w:pPr>
        <w:spacing w:before="95"/>
        <w:ind w:left="4275" w:right="0" w:firstLine="0"/>
        <w:jc w:val="left"/>
        <w:rPr>
          <w:b/>
          <w:sz w:val="32"/>
        </w:rPr>
      </w:pPr>
      <w:r>
        <w:rPr>
          <w:b/>
          <w:w w:val="115"/>
          <w:sz w:val="32"/>
        </w:rPr>
        <w:t>Conservation Area Planning Controls</w:t>
      </w:r>
    </w:p>
    <w:p>
      <w:pPr>
        <w:pStyle w:val="BodyText"/>
        <w:spacing w:line="276" w:lineRule="auto" w:before="145"/>
        <w:ind w:left="4275" w:right="1038"/>
      </w:pPr>
      <w:r>
        <w:rPr>
          <w:w w:val="105"/>
        </w:rPr>
        <w:t>The following controls apply within the Conservation Area in addition to normal planning controls:</w:t>
      </w:r>
    </w:p>
    <w:p>
      <w:pPr>
        <w:pStyle w:val="BodyText"/>
        <w:spacing w:before="6"/>
        <w:rPr>
          <w:sz w:val="18"/>
        </w:rPr>
      </w:pPr>
    </w:p>
    <w:p>
      <w:pPr>
        <w:pStyle w:val="ListParagraph"/>
        <w:numPr>
          <w:ilvl w:val="0"/>
          <w:numId w:val="2"/>
        </w:numPr>
        <w:tabs>
          <w:tab w:pos="4697" w:val="left" w:leader="none"/>
        </w:tabs>
        <w:spacing w:line="276" w:lineRule="auto" w:before="0" w:after="0"/>
        <w:ind w:left="4696" w:right="1502" w:hanging="252"/>
        <w:jc w:val="left"/>
        <w:rPr>
          <w:sz w:val="20"/>
        </w:rPr>
      </w:pPr>
      <w:r>
        <w:rPr>
          <w:w w:val="105"/>
          <w:sz w:val="20"/>
        </w:rPr>
        <w:t>Conservation Area Consent is normally required for the demolition of buildings or structures over a certain size within a Conservation</w:t>
      </w:r>
      <w:r>
        <w:rPr>
          <w:spacing w:val="12"/>
          <w:w w:val="105"/>
          <w:sz w:val="20"/>
        </w:rPr>
        <w:t> </w:t>
      </w:r>
      <w:r>
        <w:rPr>
          <w:w w:val="105"/>
          <w:sz w:val="20"/>
        </w:rPr>
        <w:t>Area</w:t>
      </w:r>
    </w:p>
    <w:p>
      <w:pPr>
        <w:pStyle w:val="BodyText"/>
        <w:spacing w:before="10"/>
        <w:rPr>
          <w:sz w:val="10"/>
        </w:rPr>
      </w:pPr>
    </w:p>
    <w:p>
      <w:pPr>
        <w:spacing w:after="0"/>
        <w:rPr>
          <w:sz w:val="10"/>
        </w:rPr>
        <w:sectPr>
          <w:pgSz w:w="11910" w:h="16840"/>
          <w:pgMar w:top="0" w:bottom="0" w:left="120" w:right="120"/>
        </w:sectPr>
      </w:pPr>
    </w:p>
    <w:p>
      <w:pPr>
        <w:pStyle w:val="BodyText"/>
        <w:rPr>
          <w:sz w:val="16"/>
        </w:rPr>
      </w:pPr>
    </w:p>
    <w:p>
      <w:pPr>
        <w:pStyle w:val="BodyText"/>
        <w:rPr>
          <w:sz w:val="16"/>
        </w:rPr>
      </w:pPr>
    </w:p>
    <w:p>
      <w:pPr>
        <w:pStyle w:val="BodyText"/>
        <w:rPr>
          <w:sz w:val="16"/>
        </w:rPr>
      </w:pPr>
    </w:p>
    <w:p>
      <w:pPr>
        <w:pStyle w:val="BodyText"/>
        <w:rPr>
          <w:sz w:val="16"/>
        </w:rPr>
      </w:pPr>
    </w:p>
    <w:p>
      <w:pPr>
        <w:spacing w:before="129"/>
        <w:ind w:left="2347" w:right="0" w:firstLine="0"/>
        <w:jc w:val="left"/>
        <w:rPr>
          <w:b/>
          <w:i/>
          <w:sz w:val="14"/>
        </w:rPr>
      </w:pPr>
      <w:r>
        <w:rPr>
          <w:b/>
          <w:i/>
          <w:w w:val="115"/>
          <w:sz w:val="14"/>
        </w:rPr>
        <w:t>Pound</w:t>
      </w:r>
      <w:r>
        <w:rPr>
          <w:b/>
          <w:i/>
          <w:spacing w:val="-11"/>
          <w:w w:val="115"/>
          <w:sz w:val="14"/>
        </w:rPr>
        <w:t> </w:t>
      </w:r>
      <w:r>
        <w:rPr>
          <w:b/>
          <w:i/>
          <w:spacing w:val="-3"/>
          <w:w w:val="115"/>
          <w:sz w:val="14"/>
        </w:rPr>
        <w:t>Farmhouse</w:t>
      </w:r>
    </w:p>
    <w:p>
      <w:pPr>
        <w:pStyle w:val="BodyText"/>
        <w:rPr>
          <w:b/>
          <w:i/>
          <w:sz w:val="16"/>
        </w:rPr>
      </w:pPr>
    </w:p>
    <w:p>
      <w:pPr>
        <w:pStyle w:val="BodyText"/>
        <w:rPr>
          <w:b/>
          <w:i/>
          <w:sz w:val="16"/>
        </w:rPr>
      </w:pPr>
    </w:p>
    <w:p>
      <w:pPr>
        <w:pStyle w:val="BodyText"/>
        <w:rPr>
          <w:b/>
          <w:i/>
          <w:sz w:val="16"/>
        </w:rPr>
      </w:pPr>
    </w:p>
    <w:p>
      <w:pPr>
        <w:pStyle w:val="BodyText"/>
        <w:rPr>
          <w:b/>
          <w:i/>
          <w:sz w:val="16"/>
        </w:rPr>
      </w:pPr>
    </w:p>
    <w:p>
      <w:pPr>
        <w:pStyle w:val="BodyText"/>
        <w:rPr>
          <w:b/>
          <w:i/>
          <w:sz w:val="16"/>
        </w:rPr>
      </w:pPr>
    </w:p>
    <w:p>
      <w:pPr>
        <w:pStyle w:val="BodyText"/>
        <w:rPr>
          <w:b/>
          <w:i/>
          <w:sz w:val="16"/>
        </w:rPr>
      </w:pPr>
    </w:p>
    <w:p>
      <w:pPr>
        <w:pStyle w:val="BodyText"/>
        <w:rPr>
          <w:b/>
          <w:i/>
          <w:sz w:val="16"/>
        </w:rPr>
      </w:pPr>
    </w:p>
    <w:p>
      <w:pPr>
        <w:pStyle w:val="BodyText"/>
        <w:rPr>
          <w:b/>
          <w:i/>
          <w:sz w:val="16"/>
        </w:rPr>
      </w:pPr>
    </w:p>
    <w:p>
      <w:pPr>
        <w:pStyle w:val="BodyText"/>
        <w:rPr>
          <w:b/>
          <w:i/>
          <w:sz w:val="16"/>
        </w:rPr>
      </w:pPr>
    </w:p>
    <w:p>
      <w:pPr>
        <w:pStyle w:val="BodyText"/>
        <w:rPr>
          <w:b/>
          <w:i/>
          <w:sz w:val="16"/>
        </w:rPr>
      </w:pPr>
    </w:p>
    <w:p>
      <w:pPr>
        <w:pStyle w:val="BodyText"/>
        <w:rPr>
          <w:b/>
          <w:i/>
          <w:sz w:val="16"/>
        </w:rPr>
      </w:pPr>
    </w:p>
    <w:p>
      <w:pPr>
        <w:pStyle w:val="BodyText"/>
        <w:rPr>
          <w:b/>
          <w:i/>
          <w:sz w:val="16"/>
        </w:rPr>
      </w:pPr>
    </w:p>
    <w:p>
      <w:pPr>
        <w:pStyle w:val="BodyText"/>
        <w:rPr>
          <w:b/>
          <w:i/>
          <w:sz w:val="16"/>
        </w:rPr>
      </w:pPr>
    </w:p>
    <w:p>
      <w:pPr>
        <w:pStyle w:val="BodyText"/>
        <w:rPr>
          <w:b/>
          <w:i/>
          <w:sz w:val="16"/>
        </w:rPr>
      </w:pPr>
    </w:p>
    <w:p>
      <w:pPr>
        <w:pStyle w:val="BodyText"/>
        <w:spacing w:before="4"/>
        <w:rPr>
          <w:b/>
          <w:i/>
          <w:sz w:val="22"/>
        </w:rPr>
      </w:pPr>
    </w:p>
    <w:p>
      <w:pPr>
        <w:spacing w:before="0"/>
        <w:ind w:left="2269" w:right="0" w:firstLine="0"/>
        <w:jc w:val="left"/>
        <w:rPr>
          <w:b/>
          <w:i/>
          <w:sz w:val="14"/>
        </w:rPr>
      </w:pPr>
      <w:r>
        <w:rPr>
          <w:b/>
          <w:i/>
          <w:w w:val="115"/>
          <w:sz w:val="14"/>
        </w:rPr>
        <w:t>Hawley</w:t>
      </w:r>
      <w:r>
        <w:rPr>
          <w:b/>
          <w:i/>
          <w:spacing w:val="-8"/>
          <w:w w:val="115"/>
          <w:sz w:val="14"/>
        </w:rPr>
        <w:t> </w:t>
      </w:r>
      <w:r>
        <w:rPr>
          <w:b/>
          <w:i/>
          <w:spacing w:val="-3"/>
          <w:w w:val="115"/>
          <w:sz w:val="14"/>
        </w:rPr>
        <w:t>Farmhouse</w:t>
      </w:r>
    </w:p>
    <w:p>
      <w:pPr>
        <w:pStyle w:val="ListParagraph"/>
        <w:numPr>
          <w:ilvl w:val="0"/>
          <w:numId w:val="3"/>
        </w:numPr>
        <w:tabs>
          <w:tab w:pos="1124" w:val="left" w:leader="none"/>
        </w:tabs>
        <w:spacing w:line="276" w:lineRule="auto" w:before="92" w:after="0"/>
        <w:ind w:left="1123" w:right="1055" w:hanging="252"/>
        <w:jc w:val="left"/>
        <w:rPr>
          <w:sz w:val="20"/>
        </w:rPr>
      </w:pPr>
      <w:r>
        <w:rPr>
          <w:w w:val="103"/>
          <w:sz w:val="20"/>
        </w:rPr>
        <w:br w:type="column"/>
      </w:r>
      <w:r>
        <w:rPr>
          <w:w w:val="105"/>
          <w:sz w:val="20"/>
        </w:rPr>
        <w:t>The Council must be given six weeks notice of any intention to undertake works to, cut down or uproot any trees over a certain size in the Conservation</w:t>
      </w:r>
      <w:r>
        <w:rPr>
          <w:spacing w:val="37"/>
          <w:w w:val="105"/>
          <w:sz w:val="20"/>
        </w:rPr>
        <w:t> </w:t>
      </w:r>
      <w:r>
        <w:rPr>
          <w:w w:val="105"/>
          <w:sz w:val="20"/>
        </w:rPr>
        <w:t>Area</w:t>
      </w:r>
    </w:p>
    <w:p>
      <w:pPr>
        <w:pStyle w:val="BodyText"/>
        <w:spacing w:before="5"/>
        <w:rPr>
          <w:sz w:val="18"/>
        </w:rPr>
      </w:pPr>
    </w:p>
    <w:p>
      <w:pPr>
        <w:pStyle w:val="ListParagraph"/>
        <w:numPr>
          <w:ilvl w:val="0"/>
          <w:numId w:val="3"/>
        </w:numPr>
        <w:tabs>
          <w:tab w:pos="1124" w:val="left" w:leader="none"/>
        </w:tabs>
        <w:spacing w:line="276" w:lineRule="auto" w:before="0" w:after="0"/>
        <w:ind w:left="1123" w:right="1095" w:hanging="191"/>
        <w:jc w:val="left"/>
        <w:rPr>
          <w:sz w:val="20"/>
        </w:rPr>
      </w:pPr>
      <w:r>
        <w:rPr>
          <w:w w:val="105"/>
          <w:sz w:val="20"/>
        </w:rPr>
        <w:t>Planning applications which, in the opinion of the Borough Council, would affect the special character of the Conservation Area must be advertised and the opportunity given for public comment. This may include proposals outside the Conservation Area which nevertheless affect its</w:t>
      </w:r>
      <w:r>
        <w:rPr>
          <w:spacing w:val="24"/>
          <w:w w:val="105"/>
          <w:sz w:val="20"/>
        </w:rPr>
        <w:t> </w:t>
      </w:r>
      <w:r>
        <w:rPr>
          <w:w w:val="105"/>
          <w:sz w:val="20"/>
        </w:rPr>
        <w:t>setting</w:t>
      </w:r>
    </w:p>
    <w:p>
      <w:pPr>
        <w:pStyle w:val="BodyText"/>
        <w:spacing w:before="3"/>
        <w:rPr>
          <w:sz w:val="18"/>
        </w:rPr>
      </w:pPr>
    </w:p>
    <w:p>
      <w:pPr>
        <w:pStyle w:val="BodyText"/>
        <w:spacing w:line="276" w:lineRule="auto"/>
        <w:ind w:left="701" w:right="1196"/>
      </w:pPr>
      <w:r>
        <w:rPr>
          <w:w w:val="105"/>
        </w:rPr>
        <w:t>Statutory policies relating to Conservation Areas and  listed  buildings are set out in the adopted Basingstoke and Deane Borough Local Plan. These policies reflect the statutory duty on the Local Planning Authority to have </w:t>
      </w:r>
      <w:r>
        <w:rPr>
          <w:spacing w:val="-3"/>
          <w:w w:val="105"/>
        </w:rPr>
        <w:t>regard </w:t>
      </w:r>
      <w:r>
        <w:rPr>
          <w:w w:val="105"/>
        </w:rPr>
        <w:t>to the preservation of historic buildings or their setting, and to the enhancement of areas designated as being of special interest. These policies seek to ensure that particular attention will be paid to  the scale, height, form, materials and detailing of proposals including boundary</w:t>
      </w:r>
      <w:r>
        <w:rPr>
          <w:spacing w:val="-6"/>
          <w:w w:val="105"/>
        </w:rPr>
        <w:t> </w:t>
      </w:r>
      <w:r>
        <w:rPr>
          <w:w w:val="105"/>
        </w:rPr>
        <w:t>treatments</w:t>
      </w:r>
      <w:r>
        <w:rPr>
          <w:spacing w:val="-6"/>
          <w:w w:val="105"/>
        </w:rPr>
        <w:t> </w:t>
      </w:r>
      <w:r>
        <w:rPr>
          <w:w w:val="105"/>
        </w:rPr>
        <w:t>and</w:t>
      </w:r>
      <w:r>
        <w:rPr>
          <w:spacing w:val="-6"/>
          <w:w w:val="105"/>
        </w:rPr>
        <w:t> </w:t>
      </w:r>
      <w:r>
        <w:rPr>
          <w:w w:val="105"/>
        </w:rPr>
        <w:t>other</w:t>
      </w:r>
      <w:r>
        <w:rPr>
          <w:spacing w:val="-6"/>
          <w:w w:val="105"/>
        </w:rPr>
        <w:t> </w:t>
      </w:r>
      <w:r>
        <w:rPr>
          <w:w w:val="105"/>
        </w:rPr>
        <w:t>features</w:t>
      </w:r>
      <w:r>
        <w:rPr>
          <w:spacing w:val="-6"/>
          <w:w w:val="105"/>
        </w:rPr>
        <w:t> </w:t>
      </w:r>
      <w:r>
        <w:rPr>
          <w:w w:val="105"/>
        </w:rPr>
        <w:t>of</w:t>
      </w:r>
      <w:r>
        <w:rPr>
          <w:spacing w:val="-6"/>
          <w:w w:val="105"/>
        </w:rPr>
        <w:t> </w:t>
      </w:r>
      <w:r>
        <w:rPr>
          <w:w w:val="105"/>
        </w:rPr>
        <w:t>note.</w:t>
      </w:r>
      <w:r>
        <w:rPr>
          <w:spacing w:val="-6"/>
          <w:w w:val="105"/>
        </w:rPr>
        <w:t> </w:t>
      </w:r>
      <w:r>
        <w:rPr>
          <w:w w:val="105"/>
        </w:rPr>
        <w:t>In</w:t>
      </w:r>
      <w:r>
        <w:rPr>
          <w:spacing w:val="-6"/>
          <w:w w:val="105"/>
        </w:rPr>
        <w:t> </w:t>
      </w:r>
      <w:r>
        <w:rPr>
          <w:w w:val="105"/>
        </w:rPr>
        <w:t>order</w:t>
      </w:r>
      <w:r>
        <w:rPr>
          <w:spacing w:val="-6"/>
          <w:w w:val="105"/>
        </w:rPr>
        <w:t> </w:t>
      </w:r>
      <w:r>
        <w:rPr>
          <w:w w:val="105"/>
        </w:rPr>
        <w:t>to</w:t>
      </w:r>
      <w:r>
        <w:rPr>
          <w:spacing w:val="-6"/>
          <w:w w:val="105"/>
        </w:rPr>
        <w:t> </w:t>
      </w:r>
      <w:r>
        <w:rPr>
          <w:w w:val="105"/>
        </w:rPr>
        <w:t>consider</w:t>
      </w:r>
      <w:r>
        <w:rPr>
          <w:spacing w:val="-6"/>
          <w:w w:val="105"/>
        </w:rPr>
        <w:t> </w:t>
      </w:r>
      <w:r>
        <w:rPr>
          <w:w w:val="105"/>
        </w:rPr>
        <w:t>the implications of development, and given the detail required, the</w:t>
      </w:r>
      <w:r>
        <w:rPr>
          <w:spacing w:val="-34"/>
          <w:w w:val="105"/>
        </w:rPr>
        <w:t> </w:t>
      </w:r>
      <w:r>
        <w:rPr>
          <w:w w:val="105"/>
        </w:rPr>
        <w:t>Borough</w:t>
      </w:r>
    </w:p>
    <w:p>
      <w:pPr>
        <w:pStyle w:val="BodyText"/>
        <w:spacing w:line="276" w:lineRule="auto"/>
        <w:ind w:left="701" w:right="900"/>
      </w:pPr>
      <w:r>
        <w:rPr>
          <w:w w:val="105"/>
        </w:rPr>
        <w:t>Council will normally require proposals within the Conservation Area to be submitted in the form of a full, and not outline, application. The Borough Council’s conservation officers are available for advice and information on all matters relating to development proposals in the Conservation Area.</w:t>
      </w:r>
    </w:p>
    <w:p>
      <w:pPr>
        <w:pStyle w:val="BodyText"/>
        <w:rPr>
          <w:sz w:val="22"/>
        </w:rPr>
      </w:pPr>
    </w:p>
    <w:p>
      <w:pPr>
        <w:pStyle w:val="Heading2"/>
        <w:spacing w:before="138"/>
        <w:ind w:left="701"/>
      </w:pPr>
      <w:r>
        <w:rPr>
          <w:w w:val="110"/>
        </w:rPr>
        <w:t>Grants</w:t>
      </w:r>
    </w:p>
    <w:p>
      <w:pPr>
        <w:pStyle w:val="BodyText"/>
        <w:spacing w:line="276" w:lineRule="auto" w:before="145"/>
        <w:ind w:left="701" w:right="1270"/>
      </w:pPr>
      <w:r>
        <w:rPr>
          <w:w w:val="105"/>
        </w:rPr>
        <w:t>The Borough Council provides grants for various types of work. These include </w:t>
      </w:r>
      <w:r>
        <w:rPr>
          <w:spacing w:val="-3"/>
          <w:w w:val="105"/>
        </w:rPr>
        <w:t>Historic Buildings Grants, </w:t>
      </w:r>
      <w:r>
        <w:rPr>
          <w:spacing w:val="-4"/>
          <w:w w:val="105"/>
        </w:rPr>
        <w:t>Environment </w:t>
      </w:r>
      <w:r>
        <w:rPr>
          <w:w w:val="105"/>
        </w:rPr>
        <w:t>and </w:t>
      </w:r>
      <w:r>
        <w:rPr>
          <w:spacing w:val="-3"/>
          <w:w w:val="105"/>
        </w:rPr>
        <w:t>Regeneration Grants, </w:t>
      </w:r>
      <w:r>
        <w:rPr>
          <w:w w:val="105"/>
        </w:rPr>
        <w:t>and </w:t>
      </w:r>
      <w:r>
        <w:rPr>
          <w:spacing w:val="-3"/>
          <w:w w:val="105"/>
        </w:rPr>
        <w:t>Village </w:t>
      </w:r>
      <w:r>
        <w:rPr>
          <w:w w:val="105"/>
        </w:rPr>
        <w:t>and </w:t>
      </w:r>
      <w:r>
        <w:rPr>
          <w:spacing w:val="-3"/>
          <w:w w:val="105"/>
        </w:rPr>
        <w:t>Community Hall Grants. Leaflets </w:t>
      </w:r>
      <w:r>
        <w:rPr>
          <w:spacing w:val="-4"/>
          <w:w w:val="105"/>
        </w:rPr>
        <w:t>are </w:t>
      </w:r>
      <w:r>
        <w:rPr>
          <w:spacing w:val="-3"/>
          <w:w w:val="105"/>
        </w:rPr>
        <w:t>available explaining </w:t>
      </w:r>
      <w:r>
        <w:rPr>
          <w:w w:val="105"/>
        </w:rPr>
        <w:t>the </w:t>
      </w:r>
      <w:r>
        <w:rPr>
          <w:spacing w:val="-3"/>
          <w:w w:val="105"/>
        </w:rPr>
        <w:t>purpose </w:t>
      </w:r>
      <w:r>
        <w:rPr>
          <w:w w:val="105"/>
        </w:rPr>
        <w:t>and </w:t>
      </w:r>
      <w:r>
        <w:rPr>
          <w:spacing w:val="-3"/>
          <w:w w:val="105"/>
        </w:rPr>
        <w:t>criteria </w:t>
      </w:r>
      <w:r>
        <w:rPr>
          <w:w w:val="105"/>
        </w:rPr>
        <w:t>for </w:t>
      </w:r>
      <w:r>
        <w:rPr>
          <w:spacing w:val="-3"/>
          <w:w w:val="105"/>
        </w:rPr>
        <w:t>each grant </w:t>
      </w:r>
      <w:r>
        <w:rPr>
          <w:w w:val="105"/>
        </w:rPr>
        <w:t>and an </w:t>
      </w:r>
      <w:r>
        <w:rPr>
          <w:spacing w:val="-4"/>
          <w:w w:val="105"/>
        </w:rPr>
        <w:t>approach </w:t>
      </w:r>
      <w:r>
        <w:rPr>
          <w:w w:val="105"/>
        </w:rPr>
        <w:t>to the </w:t>
      </w:r>
      <w:r>
        <w:rPr>
          <w:spacing w:val="-3"/>
          <w:w w:val="105"/>
        </w:rPr>
        <w:t>Council </w:t>
      </w:r>
      <w:r>
        <w:rPr>
          <w:w w:val="105"/>
        </w:rPr>
        <w:t>is </w:t>
      </w:r>
      <w:r>
        <w:rPr>
          <w:spacing w:val="-4"/>
          <w:w w:val="105"/>
        </w:rPr>
        <w:t>recommended </w:t>
      </w:r>
      <w:r>
        <w:rPr>
          <w:w w:val="105"/>
        </w:rPr>
        <w:t>for further information on any grant.</w:t>
      </w:r>
    </w:p>
    <w:p>
      <w:pPr>
        <w:spacing w:after="0" w:line="276" w:lineRule="auto"/>
        <w:sectPr>
          <w:type w:val="continuous"/>
          <w:pgSz w:w="11910" w:h="16840"/>
          <w:pgMar w:top="880" w:bottom="0" w:left="120" w:right="120"/>
          <w:cols w:num="2" w:equalWidth="0">
            <w:col w:w="3534" w:space="40"/>
            <w:col w:w="8096"/>
          </w:cols>
        </w:sectPr>
      </w:pPr>
    </w:p>
    <w:p>
      <w:pPr>
        <w:pStyle w:val="BodyText"/>
      </w:pPr>
      <w:r>
        <w:rPr/>
        <w:pict>
          <v:line style="position:absolute;mso-position-horizontal-relative:page;mso-position-vertical-relative:page;z-index:251674624" from="595.274536pt,.00024pt" to="595.274536pt,841.89001pt" stroked="true" strokeweight=".002086pt" strokecolor="#861d46">
            <v:stroke dashstyle="solid"/>
            <w10:wrap type="none"/>
          </v:line>
        </w:pict>
      </w:r>
      <w:r>
        <w:rPr/>
        <w:pict>
          <v:rect style="position:absolute;margin-left:-.000004pt;margin-top:.00024pt;width:595.273484pt;height:841.88977pt;mso-position-horizontal-relative:page;mso-position-vertical-relative:page;z-index:-252304384" filled="true" fillcolor="#861d46" stroked="false">
            <v:fill type="solid"/>
            <w10:wrap type="none"/>
          </v:rect>
        </w:pict>
      </w:r>
      <w:r>
        <w:rPr/>
        <w:pict>
          <v:group style="position:absolute;margin-left:11.33856pt;margin-top:42.519924pt;width:584.2pt;height:756.85pt;mso-position-horizontal-relative:page;mso-position-vertical-relative:page;z-index:-252303360" coordorigin="227,850" coordsize="11684,15137">
            <v:shape style="position:absolute;left:231;top:855;width:11674;height:15127" coordorigin="232,855" coordsize="11674,15127" path="m11906,15982l515,15982,351,15938,267,15841,236,15743,232,15699,232,1139,276,975,374,891,471,860,515,855,11906,855,11906,15982xe" filled="true" fillcolor="#ffffff" stroked="false">
              <v:path arrowok="t"/>
              <v:fill type="solid"/>
            </v:shape>
            <v:shape style="position:absolute;left:-11674;top:9274;width:11674;height:15127" coordorigin="-11674,9274" coordsize="11674,15127" path="m515,855l471,860,374,891,276,975,232,1139,232,3414,232,8419,232,13424,232,15699,236,15743,267,15841,351,15938,515,15982,4075,15982,11906,15982m11906,855l4075,855,515,855e" filled="false" stroked="true" strokeweight=".5pt" strokecolor="#000000">
              <v:path arrowok="t"/>
              <v:stroke dashstyle="solid"/>
            </v:shape>
            <v:shape style="position:absolute;left:566;top:5979;width:3378;height:2552" type="#_x0000_t75" stroked="false">
              <v:imagedata r:id="rId17" o:title=""/>
            </v:shape>
            <v:shape style="position:absolute;left:566;top:2821;width:3378;height:2552" type="#_x0000_t75" stroked="false">
              <v:imagedata r:id="rId18" o:title=""/>
            </v:shape>
            <w10:wrap type="none"/>
          </v:group>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29"/>
        </w:rPr>
      </w:pPr>
    </w:p>
    <w:p>
      <w:pPr>
        <w:pStyle w:val="Heading2"/>
        <w:tabs>
          <w:tab w:pos="560" w:val="left" w:leader="none"/>
        </w:tabs>
        <w:ind w:left="106"/>
      </w:pPr>
      <w:r>
        <w:rPr>
          <w:b w:val="0"/>
          <w:color w:val="FFFFFF"/>
          <w:w w:val="110"/>
          <w:position w:val="2"/>
          <w:sz w:val="24"/>
        </w:rPr>
        <w:t>8</w:t>
        <w:tab/>
      </w:r>
      <w:r>
        <w:rPr>
          <w:color w:val="FFFFFF"/>
          <w:w w:val="110"/>
        </w:rPr>
        <w:t>Church Road,</w:t>
      </w:r>
      <w:r>
        <w:rPr>
          <w:color w:val="FFFFFF"/>
          <w:spacing w:val="36"/>
          <w:w w:val="110"/>
        </w:rPr>
        <w:t> </w:t>
      </w:r>
      <w:r>
        <w:rPr>
          <w:color w:val="FFFFFF"/>
          <w:spacing w:val="-6"/>
          <w:w w:val="110"/>
        </w:rPr>
        <w:t>Tadley</w:t>
      </w:r>
    </w:p>
    <w:p>
      <w:pPr>
        <w:spacing w:after="0"/>
        <w:sectPr>
          <w:type w:val="continuous"/>
          <w:pgSz w:w="11910" w:h="16840"/>
          <w:pgMar w:top="880" w:bottom="0" w:left="120" w:right="120"/>
        </w:sectPr>
      </w:pPr>
    </w:p>
    <w:p>
      <w:pPr>
        <w:spacing w:before="83"/>
        <w:ind w:left="1587" w:right="0" w:firstLine="0"/>
        <w:jc w:val="left"/>
        <w:rPr>
          <w:b/>
          <w:sz w:val="32"/>
        </w:rPr>
      </w:pPr>
      <w:r>
        <w:rPr/>
        <w:pict>
          <v:rect style="position:absolute;margin-left:0pt;margin-top:.00024pt;width:595.27557pt;height:841.88977pt;mso-position-horizontal-relative:page;mso-position-vertical-relative:page;z-index:-252301312" filled="true" fillcolor="#861d46" stroked="false">
            <v:fill type="solid"/>
            <w10:wrap type="none"/>
          </v:rect>
        </w:pict>
      </w:r>
      <w:r>
        <w:rPr>
          <w:color w:val="FFFFFF"/>
          <w:w w:val="105"/>
          <w:sz w:val="32"/>
        </w:rPr>
        <w:t>Conservation Area Appraisal - </w:t>
      </w:r>
      <w:r>
        <w:rPr>
          <w:b/>
          <w:color w:val="FFFFFF"/>
          <w:w w:val="105"/>
          <w:sz w:val="32"/>
        </w:rPr>
        <w:t>Church Road, Tadley 1870 OS Map</w:t>
      </w:r>
    </w:p>
    <w:p>
      <w:pPr>
        <w:pStyle w:val="BodyText"/>
        <w:spacing w:before="11"/>
        <w:rPr>
          <w:b/>
          <w:sz w:val="17"/>
        </w:rPr>
      </w:pPr>
    </w:p>
    <w:p>
      <w:pPr>
        <w:pStyle w:val="BodyText"/>
        <w:ind w:left="-125"/>
      </w:pPr>
      <w:r>
        <w:rPr/>
        <w:pict>
          <v:group style="width:584.2pt;height:756.85pt;mso-position-horizontal-relative:char;mso-position-vertical-relative:line" coordorigin="0,0" coordsize="11684,15137">
            <v:shape style="position:absolute;left:5;top:5;width:11674;height:15127" coordorigin="5,5" coordsize="11674,15127" path="m11395,15132l5,15132,5,5,11395,5,11559,49,11643,147,11674,244,11679,288,11679,14849,11634,15012,11537,15097,11440,15128,11395,15132xe" filled="true" fillcolor="#ffffff" stroked="false">
              <v:path arrowok="t"/>
              <v:fill type="solid"/>
            </v:shape>
            <v:shape style="position:absolute;left:5;top:5;width:11674;height:15127" coordorigin="5,5" coordsize="11674,15127" path="m5,15132l7836,15132,11395,15132,11440,15128,11537,15097,11634,15012,11679,14849,11679,12574,11679,7569,11679,2563,11679,288,11674,244,11643,147,11559,49,11395,5,7836,5,5,5e" filled="false" stroked="true" strokeweight=".5pt" strokecolor="#000000">
              <v:path arrowok="t"/>
              <v:stroke dashstyle="solid"/>
            </v:shape>
            <v:rect style="position:absolute;left:3822;top:3042;width:3478;height:8712" filled="true" fillcolor="#ffffff" stroked="false">
              <v:fill type="solid"/>
            </v:rect>
            <v:shape style="position:absolute;left:3822;top:3042;width:3478;height:7465" type="#_x0000_t75" stroked="false">
              <v:imagedata r:id="rId19" o:title=""/>
            </v:shape>
          </v:group>
        </w:pict>
      </w:r>
      <w:r>
        <w:rPr/>
      </w:r>
    </w:p>
    <w:p>
      <w:pPr>
        <w:pStyle w:val="Heading2"/>
        <w:tabs>
          <w:tab w:pos="3444" w:val="left" w:leader="none"/>
        </w:tabs>
        <w:spacing w:before="183"/>
        <w:ind w:right="104"/>
        <w:jc w:val="right"/>
        <w:rPr>
          <w:b w:val="0"/>
          <w:sz w:val="24"/>
        </w:rPr>
      </w:pPr>
      <w:r>
        <w:rPr>
          <w:color w:val="FFFFFF"/>
          <w:w w:val="110"/>
        </w:rPr>
        <w:t>Church</w:t>
      </w:r>
      <w:r>
        <w:rPr>
          <w:color w:val="FFFFFF"/>
          <w:spacing w:val="32"/>
          <w:w w:val="110"/>
        </w:rPr>
        <w:t> </w:t>
      </w:r>
      <w:r>
        <w:rPr>
          <w:color w:val="FFFFFF"/>
          <w:w w:val="110"/>
        </w:rPr>
        <w:t>Road,</w:t>
      </w:r>
      <w:r>
        <w:rPr>
          <w:color w:val="FFFFFF"/>
          <w:spacing w:val="32"/>
          <w:w w:val="110"/>
        </w:rPr>
        <w:t> </w:t>
      </w:r>
      <w:r>
        <w:rPr>
          <w:color w:val="FFFFFF"/>
          <w:spacing w:val="-6"/>
          <w:w w:val="110"/>
        </w:rPr>
        <w:t>Tadley</w:t>
        <w:tab/>
      </w:r>
      <w:r>
        <w:rPr>
          <w:b w:val="0"/>
          <w:color w:val="FFFFFF"/>
          <w:w w:val="105"/>
          <w:position w:val="2"/>
          <w:sz w:val="24"/>
        </w:rPr>
        <w:t>9</w:t>
      </w:r>
    </w:p>
    <w:p>
      <w:pPr>
        <w:spacing w:after="0"/>
        <w:jc w:val="right"/>
        <w:rPr>
          <w:sz w:val="24"/>
        </w:rPr>
        <w:sectPr>
          <w:pgSz w:w="11910" w:h="16840"/>
          <w:pgMar w:top="140" w:bottom="0" w:left="120" w:right="120"/>
        </w:sectPr>
      </w:pPr>
    </w:p>
    <w:p>
      <w:pPr>
        <w:pStyle w:val="BodyText"/>
        <w:spacing w:before="6"/>
        <w:rPr>
          <w:sz w:val="10"/>
        </w:rPr>
      </w:pPr>
      <w:r>
        <w:rPr/>
        <w:pict>
          <v:line style="position:absolute;mso-position-horizontal-relative:page;mso-position-vertical-relative:page;z-index:251679744" from="595.274536pt,.00024pt" to="595.274536pt,841.89001pt" stroked="true" strokeweight=".002086pt" strokecolor="#861d46">
            <v:stroke dashstyle="solid"/>
            <w10:wrap type="none"/>
          </v:line>
        </w:pict>
      </w:r>
      <w:r>
        <w:rPr/>
        <w:pict>
          <v:rect style="position:absolute;margin-left:-.000004pt;margin-top:.00024pt;width:595.273484pt;height:841.88977pt;mso-position-horizontal-relative:page;mso-position-vertical-relative:page;z-index:-252299264" filled="true" fillcolor="#861d46" stroked="false">
            <v:fill type="solid"/>
            <w10:wrap type="none"/>
          </v:rect>
        </w:pict>
      </w:r>
      <w:r>
        <w:rPr/>
        <w:pict>
          <v:group style="position:absolute;margin-left:11.33856pt;margin-top:42.519924pt;width:584.2pt;height:756.85pt;mso-position-horizontal-relative:page;mso-position-vertical-relative:page;z-index:251681792" coordorigin="227,850" coordsize="11684,15137">
            <v:shape style="position:absolute;left:231;top:855;width:11674;height:15127" coordorigin="232,855" coordsize="11674,15127" path="m11906,15982l515,15982,351,15938,267,15841,236,15743,232,15699,232,1139,276,975,374,891,471,860,515,855,11906,855,11906,15982xe" filled="true" fillcolor="#ffffff" stroked="false">
              <v:path arrowok="t"/>
              <v:fill type="solid"/>
            </v:shape>
            <v:shape style="position:absolute;left:-11674;top:9274;width:11674;height:15127" coordorigin="-11674,9274" coordsize="11674,15127" path="m515,855l471,860,374,891,276,975,232,1139,232,3414,232,8419,232,13424,232,15699,236,15743,267,15841,351,15938,515,15982,4075,15982,11906,15982m11906,855l4075,855,515,855e" filled="false" stroked="true" strokeweight=".5pt" strokecolor="#000000">
              <v:path arrowok="t"/>
              <v:stroke dashstyle="solid"/>
            </v:shape>
            <v:rect style="position:absolute;left:566;top:1415;width:11112;height:14119" filled="true" fillcolor="#ffffff" stroked="false">
              <v:fill type="solid"/>
            </v:rect>
            <v:shape style="position:absolute;left:1230;top:1415;width:9783;height:14119" type="#_x0000_t75" stroked="false">
              <v:imagedata r:id="rId20" o:title=""/>
            </v:shape>
            <w10:wrap type="none"/>
          </v:group>
        </w:pict>
      </w:r>
    </w:p>
    <w:p>
      <w:pPr>
        <w:spacing w:before="95"/>
        <w:ind w:left="560" w:right="0" w:firstLine="0"/>
        <w:jc w:val="left"/>
        <w:rPr>
          <w:b/>
          <w:sz w:val="32"/>
        </w:rPr>
      </w:pPr>
      <w:r>
        <w:rPr>
          <w:color w:val="FFFFFF"/>
          <w:w w:val="110"/>
          <w:sz w:val="32"/>
        </w:rPr>
        <w:t>Conservation Area Appraisal - </w:t>
      </w:r>
      <w:r>
        <w:rPr>
          <w:b/>
          <w:color w:val="FFFFFF"/>
          <w:w w:val="110"/>
          <w:sz w:val="32"/>
        </w:rPr>
        <w:t>Church Road, Tadley Tithe Map</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3"/>
        <w:rPr>
          <w:b/>
          <w:sz w:val="28"/>
        </w:rPr>
      </w:pPr>
    </w:p>
    <w:p>
      <w:pPr>
        <w:pStyle w:val="Heading2"/>
        <w:ind w:left="106"/>
      </w:pPr>
      <w:r>
        <w:rPr>
          <w:b w:val="0"/>
          <w:color w:val="FFFFFF"/>
          <w:w w:val="110"/>
          <w:position w:val="2"/>
          <w:sz w:val="24"/>
        </w:rPr>
        <w:t>10 </w:t>
      </w:r>
      <w:r>
        <w:rPr>
          <w:color w:val="FFFFFF"/>
          <w:w w:val="110"/>
        </w:rPr>
        <w:t>Church Road, Tadley</w:t>
      </w:r>
    </w:p>
    <w:p>
      <w:pPr>
        <w:spacing w:after="0"/>
        <w:sectPr>
          <w:pgSz w:w="11910" w:h="16840"/>
          <w:pgMar w:top="0" w:bottom="0" w:left="120" w:right="120"/>
        </w:sectPr>
      </w:pPr>
    </w:p>
    <w:p>
      <w:pPr>
        <w:pStyle w:val="BodyText"/>
        <w:rPr>
          <w:b/>
        </w:rPr>
      </w:pPr>
      <w:r>
        <w:rPr/>
        <w:pict>
          <v:shapetype id="_x0000_t202" o:spt="202" coordsize="21600,21600" path="m,l,21600r21600,l21600,xe">
            <v:stroke joinstyle="miter"/>
            <v:path gradientshapeok="t" o:connecttype="rect"/>
          </v:shapetype>
          <v:shape style="position:absolute;margin-left:11.33858pt;margin-top:12.712754pt;width:525.2pt;height:816.95pt;mso-position-horizontal-relative:page;mso-position-vertical-relative:page;z-index:-252295168" type="#_x0000_t202" filled="false" stroked="false">
            <v:textbox inset="0,0,0,0">
              <w:txbxContent>
                <w:p>
                  <w:pPr>
                    <w:spacing w:line="377" w:lineRule="exact" w:before="0"/>
                    <w:ind w:left="453" w:right="0" w:firstLine="0"/>
                    <w:jc w:val="left"/>
                    <w:rPr>
                      <w:sz w:val="32"/>
                    </w:rPr>
                  </w:pPr>
                  <w:r>
                    <w:rPr>
                      <w:color w:val="FFFFFF"/>
                      <w:w w:val="105"/>
                      <w:sz w:val="32"/>
                    </w:rPr>
                    <w:t>Conservation Area Appraisal</w:t>
                  </w:r>
                </w:p>
                <w:p>
                  <w:pPr>
                    <w:pStyle w:val="BodyText"/>
                    <w:rPr>
                      <w:sz w:val="36"/>
                    </w:rPr>
                  </w:pPr>
                </w:p>
                <w:p>
                  <w:pPr>
                    <w:pStyle w:val="BodyText"/>
                    <w:rPr>
                      <w:sz w:val="36"/>
                    </w:rPr>
                  </w:pPr>
                </w:p>
                <w:p>
                  <w:pPr>
                    <w:pStyle w:val="BodyText"/>
                    <w:rPr>
                      <w:sz w:val="36"/>
                    </w:rPr>
                  </w:pPr>
                </w:p>
                <w:p>
                  <w:pPr>
                    <w:spacing w:before="288"/>
                    <w:ind w:left="4168" w:right="0" w:firstLine="0"/>
                    <w:jc w:val="left"/>
                    <w:rPr>
                      <w:b/>
                      <w:sz w:val="32"/>
                    </w:rPr>
                  </w:pPr>
                  <w:r>
                    <w:rPr>
                      <w:b/>
                      <w:w w:val="110"/>
                      <w:sz w:val="32"/>
                    </w:rPr>
                    <w:t>Introduction</w:t>
                  </w:r>
                </w:p>
                <w:p>
                  <w:pPr>
                    <w:spacing w:line="304" w:lineRule="auto" w:before="193"/>
                    <w:ind w:left="4168" w:right="1" w:firstLine="0"/>
                    <w:jc w:val="left"/>
                    <w:rPr>
                      <w:sz w:val="18"/>
                    </w:rPr>
                  </w:pPr>
                  <w:r>
                    <w:rPr>
                      <w:w w:val="105"/>
                      <w:sz w:val="18"/>
                    </w:rPr>
                    <w:t>Lorem ipsum dolor sit amet, consectetuer adipiscing elit, sed diam nonummy </w:t>
                  </w:r>
                  <w:r>
                    <w:rPr>
                      <w:spacing w:val="-4"/>
                      <w:w w:val="105"/>
                      <w:sz w:val="18"/>
                    </w:rPr>
                    <w:t>nibh </w:t>
                  </w:r>
                  <w:r>
                    <w:rPr>
                      <w:w w:val="105"/>
                      <w:sz w:val="18"/>
                    </w:rPr>
                    <w:t>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 neque porro quisquam est, qui dolorem ipsum, quia dolor sit, amet, consectetur, adipisci velit, sed quia non numquam</w:t>
                  </w:r>
                  <w:r>
                    <w:rPr>
                      <w:spacing w:val="7"/>
                      <w:w w:val="105"/>
                      <w:sz w:val="18"/>
                    </w:rPr>
                    <w:t> </w:t>
                  </w:r>
                  <w:r>
                    <w:rPr>
                      <w:w w:val="105"/>
                      <w:sz w:val="18"/>
                    </w:rPr>
                    <w:t>eius</w:t>
                  </w:r>
                  <w:r>
                    <w:rPr>
                      <w:spacing w:val="8"/>
                      <w:w w:val="105"/>
                      <w:sz w:val="18"/>
                    </w:rPr>
                    <w:t> </w:t>
                  </w:r>
                  <w:r>
                    <w:rPr>
                      <w:w w:val="105"/>
                      <w:sz w:val="18"/>
                    </w:rPr>
                    <w:t>modi</w:t>
                  </w:r>
                  <w:r>
                    <w:rPr>
                      <w:spacing w:val="8"/>
                      <w:w w:val="105"/>
                      <w:sz w:val="18"/>
                    </w:rPr>
                    <w:t> </w:t>
                  </w:r>
                  <w:r>
                    <w:rPr>
                      <w:w w:val="105"/>
                      <w:sz w:val="18"/>
                    </w:rPr>
                    <w:t>tempora</w:t>
                  </w:r>
                  <w:r>
                    <w:rPr>
                      <w:spacing w:val="8"/>
                      <w:w w:val="105"/>
                      <w:sz w:val="18"/>
                    </w:rPr>
                    <w:t> </w:t>
                  </w:r>
                  <w:r>
                    <w:rPr>
                      <w:w w:val="105"/>
                      <w:sz w:val="18"/>
                    </w:rPr>
                    <w:t>incidunt,</w:t>
                  </w:r>
                  <w:r>
                    <w:rPr>
                      <w:spacing w:val="8"/>
                      <w:w w:val="105"/>
                      <w:sz w:val="18"/>
                    </w:rPr>
                    <w:t> </w:t>
                  </w:r>
                  <w:r>
                    <w:rPr>
                      <w:w w:val="105"/>
                      <w:sz w:val="18"/>
                    </w:rPr>
                    <w:t>ut</w:t>
                  </w:r>
                  <w:r>
                    <w:rPr>
                      <w:spacing w:val="8"/>
                      <w:w w:val="105"/>
                      <w:sz w:val="18"/>
                    </w:rPr>
                    <w:t> </w:t>
                  </w:r>
                  <w:r>
                    <w:rPr>
                      <w:w w:val="105"/>
                      <w:sz w:val="18"/>
                    </w:rPr>
                    <w:t>labore</w:t>
                  </w:r>
                  <w:r>
                    <w:rPr>
                      <w:spacing w:val="8"/>
                      <w:w w:val="105"/>
                      <w:sz w:val="18"/>
                    </w:rPr>
                    <w:t> </w:t>
                  </w:r>
                  <w:r>
                    <w:rPr>
                      <w:w w:val="105"/>
                      <w:sz w:val="18"/>
                    </w:rPr>
                    <w:t>et</w:t>
                  </w:r>
                  <w:r>
                    <w:rPr>
                      <w:spacing w:val="8"/>
                      <w:w w:val="105"/>
                      <w:sz w:val="18"/>
                    </w:rPr>
                    <w:t> </w:t>
                  </w:r>
                  <w:r>
                    <w:rPr>
                      <w:w w:val="105"/>
                      <w:sz w:val="18"/>
                    </w:rPr>
                    <w:t>dolore</w:t>
                  </w:r>
                  <w:r>
                    <w:rPr>
                      <w:spacing w:val="8"/>
                      <w:w w:val="105"/>
                      <w:sz w:val="18"/>
                    </w:rPr>
                    <w:t> </w:t>
                  </w:r>
                  <w:r>
                    <w:rPr>
                      <w:w w:val="105"/>
                      <w:sz w:val="18"/>
                    </w:rPr>
                    <w:t>magnam</w:t>
                  </w:r>
                  <w:r>
                    <w:rPr>
                      <w:spacing w:val="7"/>
                      <w:w w:val="105"/>
                      <w:sz w:val="18"/>
                    </w:rPr>
                    <w:t> </w:t>
                  </w:r>
                  <w:r>
                    <w:rPr>
                      <w:w w:val="105"/>
                      <w:sz w:val="18"/>
                    </w:rPr>
                    <w:t>aliquam</w:t>
                  </w:r>
                </w:p>
                <w:p>
                  <w:pPr>
                    <w:tabs>
                      <w:tab w:pos="4168" w:val="left" w:leader="none"/>
                    </w:tabs>
                    <w:spacing w:before="8"/>
                    <w:ind w:left="2544" w:right="0" w:firstLine="0"/>
                    <w:jc w:val="left"/>
                    <w:rPr>
                      <w:sz w:val="18"/>
                    </w:rPr>
                  </w:pPr>
                  <w:r>
                    <w:rPr>
                      <w:b/>
                      <w:i/>
                      <w:w w:val="110"/>
                      <w:position w:val="-6"/>
                      <w:sz w:val="16"/>
                    </w:rPr>
                    <w:t>Picture</w:t>
                  </w:r>
                  <w:r>
                    <w:rPr>
                      <w:b/>
                      <w:i/>
                      <w:spacing w:val="12"/>
                      <w:w w:val="110"/>
                      <w:position w:val="-6"/>
                      <w:sz w:val="16"/>
                    </w:rPr>
                    <w:t> </w:t>
                  </w:r>
                  <w:r>
                    <w:rPr>
                      <w:b/>
                      <w:i/>
                      <w:spacing w:val="-3"/>
                      <w:w w:val="110"/>
                      <w:position w:val="-6"/>
                      <w:sz w:val="16"/>
                    </w:rPr>
                    <w:t>Text</w:t>
                    <w:tab/>
                  </w:r>
                  <w:r>
                    <w:rPr>
                      <w:w w:val="110"/>
                      <w:sz w:val="18"/>
                    </w:rPr>
                    <w:t>quaerat</w:t>
                  </w:r>
                  <w:r>
                    <w:rPr>
                      <w:spacing w:val="9"/>
                      <w:w w:val="110"/>
                      <w:sz w:val="18"/>
                    </w:rPr>
                    <w:t> </w:t>
                  </w:r>
                  <w:r>
                    <w:rPr>
                      <w:w w:val="110"/>
                      <w:sz w:val="18"/>
                    </w:rPr>
                    <w:t>voluptatem.</w:t>
                  </w:r>
                </w:p>
                <w:p>
                  <w:pPr>
                    <w:spacing w:line="304" w:lineRule="auto" w:before="166"/>
                    <w:ind w:left="4168" w:right="0" w:firstLine="0"/>
                    <w:jc w:val="left"/>
                    <w:rPr>
                      <w:sz w:val="18"/>
                    </w:rPr>
                  </w:pPr>
                  <w:r>
                    <w:rPr>
                      <w:w w:val="105"/>
                      <w:sz w:val="18"/>
                    </w:rPr>
                    <w:t>Lorem ipsum dolor sit amet, consectetuer adipiscing elit, sed diam nonummy </w:t>
                  </w:r>
                  <w:r>
                    <w:rPr>
                      <w:spacing w:val="-4"/>
                      <w:w w:val="105"/>
                      <w:sz w:val="18"/>
                    </w:rPr>
                    <w:t>nibh </w:t>
                  </w:r>
                  <w:r>
                    <w:rPr>
                      <w:w w:val="105"/>
                      <w:sz w:val="18"/>
                    </w:rPr>
                    <w:t>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w:t>
                  </w:r>
                  <w:r>
                    <w:rPr>
                      <w:spacing w:val="-9"/>
                      <w:w w:val="105"/>
                      <w:sz w:val="18"/>
                    </w:rPr>
                    <w:t>at </w:t>
                  </w:r>
                  <w:r>
                    <w:rPr>
                      <w:w w:val="105"/>
                      <w:sz w:val="18"/>
                    </w:rPr>
                    <w:t>vero eros et accumsan et iusto odio dignissim qui blandit praesent luptatum zzril delenit</w:t>
                  </w:r>
                  <w:r>
                    <w:rPr>
                      <w:spacing w:val="10"/>
                      <w:w w:val="105"/>
                      <w:sz w:val="18"/>
                    </w:rPr>
                    <w:t> </w:t>
                  </w:r>
                  <w:r>
                    <w:rPr>
                      <w:w w:val="105"/>
                      <w:sz w:val="18"/>
                    </w:rPr>
                    <w:t>augue</w:t>
                  </w:r>
                  <w:r>
                    <w:rPr>
                      <w:spacing w:val="11"/>
                      <w:w w:val="105"/>
                      <w:sz w:val="18"/>
                    </w:rPr>
                    <w:t> </w:t>
                  </w:r>
                  <w:r>
                    <w:rPr>
                      <w:w w:val="105"/>
                      <w:sz w:val="18"/>
                    </w:rPr>
                    <w:t>duis</w:t>
                  </w:r>
                  <w:r>
                    <w:rPr>
                      <w:spacing w:val="11"/>
                      <w:w w:val="105"/>
                      <w:sz w:val="18"/>
                    </w:rPr>
                    <w:t> </w:t>
                  </w:r>
                  <w:r>
                    <w:rPr>
                      <w:w w:val="105"/>
                      <w:sz w:val="18"/>
                    </w:rPr>
                    <w:t>dolore</w:t>
                  </w:r>
                  <w:r>
                    <w:rPr>
                      <w:spacing w:val="11"/>
                      <w:w w:val="105"/>
                      <w:sz w:val="18"/>
                    </w:rPr>
                    <w:t> </w:t>
                  </w:r>
                  <w:r>
                    <w:rPr>
                      <w:w w:val="105"/>
                      <w:sz w:val="18"/>
                    </w:rPr>
                    <w:t>te</w:t>
                  </w:r>
                  <w:r>
                    <w:rPr>
                      <w:spacing w:val="11"/>
                      <w:w w:val="105"/>
                      <w:sz w:val="18"/>
                    </w:rPr>
                    <w:t> </w:t>
                  </w:r>
                  <w:r>
                    <w:rPr>
                      <w:w w:val="105"/>
                      <w:sz w:val="18"/>
                    </w:rPr>
                    <w:t>feugait</w:t>
                  </w:r>
                  <w:r>
                    <w:rPr>
                      <w:spacing w:val="11"/>
                      <w:w w:val="105"/>
                      <w:sz w:val="18"/>
                    </w:rPr>
                    <w:t> </w:t>
                  </w:r>
                  <w:r>
                    <w:rPr>
                      <w:w w:val="105"/>
                      <w:sz w:val="18"/>
                    </w:rPr>
                    <w:t>nulla</w:t>
                  </w:r>
                  <w:r>
                    <w:rPr>
                      <w:spacing w:val="11"/>
                      <w:w w:val="105"/>
                      <w:sz w:val="18"/>
                    </w:rPr>
                    <w:t> </w:t>
                  </w:r>
                  <w:r>
                    <w:rPr>
                      <w:w w:val="105"/>
                      <w:sz w:val="18"/>
                    </w:rPr>
                    <w:t>facilisi.</w:t>
                  </w:r>
                </w:p>
                <w:p>
                  <w:pPr>
                    <w:spacing w:line="304" w:lineRule="auto" w:before="177"/>
                    <w:ind w:left="4168" w:right="0" w:firstLine="0"/>
                    <w:jc w:val="left"/>
                    <w:rPr>
                      <w:sz w:val="18"/>
                    </w:rPr>
                  </w:pPr>
                  <w:r>
                    <w:rPr>
                      <w:w w:val="105"/>
                      <w:sz w:val="18"/>
                    </w:rPr>
                    <w:t>Pleff lorem monaq morel plaff lerom baple merol pliff ipsum ponaq mipsu ploff pimsu caple supim pluff sumip qonaq issum daple ussum ronaq ossom fap25</w:t>
                  </w:r>
                </w:p>
                <w:p>
                  <w:pPr>
                    <w:tabs>
                      <w:tab w:pos="4168" w:val="left" w:leader="none"/>
                    </w:tabs>
                    <w:spacing w:line="201" w:lineRule="auto" w:before="11"/>
                    <w:ind w:left="4168" w:right="154" w:hanging="1624"/>
                    <w:jc w:val="left"/>
                    <w:rPr>
                      <w:sz w:val="18"/>
                    </w:rPr>
                  </w:pPr>
                  <w:r>
                    <w:rPr>
                      <w:b/>
                      <w:i/>
                      <w:w w:val="105"/>
                      <w:position w:val="-11"/>
                      <w:sz w:val="16"/>
                    </w:rPr>
                    <w:t>Picture</w:t>
                  </w:r>
                  <w:r>
                    <w:rPr>
                      <w:b/>
                      <w:i/>
                      <w:spacing w:val="22"/>
                      <w:w w:val="105"/>
                      <w:position w:val="-11"/>
                      <w:sz w:val="16"/>
                    </w:rPr>
                    <w:t> </w:t>
                  </w:r>
                  <w:r>
                    <w:rPr>
                      <w:b/>
                      <w:i/>
                      <w:spacing w:val="-3"/>
                      <w:w w:val="105"/>
                      <w:position w:val="-11"/>
                      <w:sz w:val="16"/>
                    </w:rPr>
                    <w:t>Text</w:t>
                    <w:tab/>
                  </w:r>
                  <w:r>
                    <w:rPr>
                      <w:w w:val="105"/>
                      <w:sz w:val="18"/>
                    </w:rPr>
                    <w:t>abcde tonaq fghij gaple klmno vonaq pqrst haple uvwxy nonaq zzzz. Laple </w:t>
                  </w:r>
                  <w:r>
                    <w:rPr>
                      <w:spacing w:val="-4"/>
                      <w:w w:val="105"/>
                      <w:sz w:val="18"/>
                    </w:rPr>
                    <w:t>pleff </w:t>
                  </w:r>
                  <w:r>
                    <w:rPr>
                      <w:w w:val="105"/>
                      <w:sz w:val="18"/>
                    </w:rPr>
                    <w:t>lorem</w:t>
                  </w:r>
                  <w:r>
                    <w:rPr>
                      <w:spacing w:val="8"/>
                      <w:w w:val="105"/>
                      <w:sz w:val="18"/>
                    </w:rPr>
                    <w:t> </w:t>
                  </w:r>
                  <w:r>
                    <w:rPr>
                      <w:w w:val="105"/>
                      <w:sz w:val="18"/>
                    </w:rPr>
                    <w:t>monaq</w:t>
                  </w:r>
                  <w:r>
                    <w:rPr>
                      <w:spacing w:val="8"/>
                      <w:w w:val="105"/>
                      <w:sz w:val="18"/>
                    </w:rPr>
                    <w:t> </w:t>
                  </w:r>
                  <w:r>
                    <w:rPr>
                      <w:w w:val="105"/>
                      <w:sz w:val="18"/>
                    </w:rPr>
                    <w:t>morel</w:t>
                  </w:r>
                  <w:r>
                    <w:rPr>
                      <w:spacing w:val="8"/>
                      <w:w w:val="105"/>
                      <w:sz w:val="18"/>
                    </w:rPr>
                    <w:t> </w:t>
                  </w:r>
                  <w:r>
                    <w:rPr>
                      <w:w w:val="105"/>
                      <w:sz w:val="18"/>
                    </w:rPr>
                    <w:t>plaff</w:t>
                  </w:r>
                  <w:r>
                    <w:rPr>
                      <w:spacing w:val="8"/>
                      <w:w w:val="105"/>
                      <w:sz w:val="18"/>
                    </w:rPr>
                    <w:t> </w:t>
                  </w:r>
                  <w:r>
                    <w:rPr>
                      <w:w w:val="105"/>
                      <w:sz w:val="18"/>
                    </w:rPr>
                    <w:t>sumip</w:t>
                  </w:r>
                  <w:r>
                    <w:rPr>
                      <w:spacing w:val="8"/>
                      <w:w w:val="105"/>
                      <w:sz w:val="18"/>
                    </w:rPr>
                    <w:t> </w:t>
                  </w:r>
                  <w:r>
                    <w:rPr>
                      <w:w w:val="105"/>
                      <w:sz w:val="18"/>
                    </w:rPr>
                    <w:t>qonaq</w:t>
                  </w:r>
                  <w:r>
                    <w:rPr>
                      <w:spacing w:val="8"/>
                      <w:w w:val="105"/>
                      <w:sz w:val="18"/>
                    </w:rPr>
                    <w:t> </w:t>
                  </w:r>
                  <w:r>
                    <w:rPr>
                      <w:w w:val="105"/>
                      <w:sz w:val="18"/>
                    </w:rPr>
                    <w:t>issum</w:t>
                  </w:r>
                  <w:r>
                    <w:rPr>
                      <w:spacing w:val="8"/>
                      <w:w w:val="105"/>
                      <w:sz w:val="18"/>
                    </w:rPr>
                    <w:t> </w:t>
                  </w:r>
                  <w:r>
                    <w:rPr>
                      <w:w w:val="105"/>
                      <w:sz w:val="18"/>
                    </w:rPr>
                    <w:t>daple</w:t>
                  </w:r>
                  <w:r>
                    <w:rPr>
                      <w:spacing w:val="8"/>
                      <w:w w:val="105"/>
                      <w:sz w:val="18"/>
                    </w:rPr>
                    <w:t> </w:t>
                  </w:r>
                  <w:r>
                    <w:rPr>
                      <w:w w:val="105"/>
                      <w:sz w:val="18"/>
                    </w:rPr>
                    <w:t>ussum</w:t>
                  </w:r>
                  <w:r>
                    <w:rPr>
                      <w:spacing w:val="8"/>
                      <w:w w:val="105"/>
                      <w:sz w:val="18"/>
                    </w:rPr>
                    <w:t> </w:t>
                  </w:r>
                  <w:r>
                    <w:rPr>
                      <w:w w:val="105"/>
                      <w:sz w:val="18"/>
                    </w:rPr>
                    <w:t>ponaq</w:t>
                  </w:r>
                  <w:r>
                    <w:rPr>
                      <w:spacing w:val="8"/>
                      <w:w w:val="105"/>
                      <w:sz w:val="18"/>
                    </w:rPr>
                    <w:t> </w:t>
                  </w:r>
                  <w:r>
                    <w:rPr>
                      <w:w w:val="105"/>
                      <w:sz w:val="18"/>
                    </w:rPr>
                    <w:t>gaple</w:t>
                  </w:r>
                  <w:r>
                    <w:rPr>
                      <w:spacing w:val="8"/>
                      <w:w w:val="105"/>
                      <w:sz w:val="18"/>
                    </w:rPr>
                    <w:t> </w:t>
                  </w:r>
                  <w:r>
                    <w:rPr>
                      <w:w w:val="105"/>
                      <w:sz w:val="18"/>
                    </w:rPr>
                    <w:t>klm50</w:t>
                  </w:r>
                </w:p>
                <w:p>
                  <w:pPr>
                    <w:spacing w:before="67"/>
                    <w:ind w:left="4168" w:right="0" w:firstLine="0"/>
                    <w:jc w:val="left"/>
                    <w:rPr>
                      <w:sz w:val="18"/>
                    </w:rPr>
                  </w:pPr>
                  <w:r>
                    <w:rPr>
                      <w:sz w:val="18"/>
                    </w:rPr>
                    <w:t>lore.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
                    <w:rPr>
                      <w:sz w:val="24"/>
                    </w:rPr>
                  </w:pPr>
                </w:p>
                <w:p>
                  <w:pPr>
                    <w:spacing w:before="0"/>
                    <w:ind w:left="2544" w:right="0" w:firstLine="0"/>
                    <w:jc w:val="left"/>
                    <w:rPr>
                      <w:b/>
                      <w:i/>
                      <w:sz w:val="16"/>
                    </w:rPr>
                  </w:pPr>
                  <w:r>
                    <w:rPr>
                      <w:b/>
                      <w:i/>
                      <w:w w:val="115"/>
                      <w:sz w:val="16"/>
                    </w:rPr>
                    <w:t>Picture</w:t>
                  </w:r>
                  <w:r>
                    <w:rPr>
                      <w:b/>
                      <w:i/>
                      <w:spacing w:val="-14"/>
                      <w:w w:val="115"/>
                      <w:sz w:val="16"/>
                    </w:rPr>
                    <w:t> </w:t>
                  </w:r>
                  <w:r>
                    <w:rPr>
                      <w:b/>
                      <w:i/>
                      <w:spacing w:val="-3"/>
                      <w:w w:val="115"/>
                      <w:sz w:val="16"/>
                    </w:rPr>
                    <w:t>Text</w:t>
                  </w:r>
                </w:p>
                <w:p>
                  <w:pPr>
                    <w:pStyle w:val="BodyText"/>
                    <w:rPr>
                      <w:b/>
                      <w:i/>
                      <w:sz w:val="18"/>
                    </w:rPr>
                  </w:pPr>
                </w:p>
                <w:p>
                  <w:pPr>
                    <w:pStyle w:val="BodyText"/>
                    <w:rPr>
                      <w:b/>
                      <w:i/>
                      <w:sz w:val="18"/>
                    </w:rPr>
                  </w:pPr>
                </w:p>
                <w:p>
                  <w:pPr>
                    <w:pStyle w:val="BodyText"/>
                    <w:rPr>
                      <w:b/>
                      <w:i/>
                      <w:sz w:val="18"/>
                    </w:rPr>
                  </w:pPr>
                </w:p>
                <w:p>
                  <w:pPr>
                    <w:pStyle w:val="BodyText"/>
                    <w:rPr>
                      <w:b/>
                      <w:i/>
                      <w:sz w:val="18"/>
                    </w:rPr>
                  </w:pPr>
                </w:p>
                <w:p>
                  <w:pPr>
                    <w:pStyle w:val="BodyText"/>
                    <w:rPr>
                      <w:b/>
                      <w:i/>
                      <w:sz w:val="18"/>
                    </w:rPr>
                  </w:pPr>
                </w:p>
                <w:p>
                  <w:pPr>
                    <w:pStyle w:val="BodyText"/>
                    <w:rPr>
                      <w:b/>
                      <w:i/>
                      <w:sz w:val="18"/>
                    </w:rPr>
                  </w:pPr>
                </w:p>
                <w:p>
                  <w:pPr>
                    <w:pStyle w:val="BodyText"/>
                    <w:rPr>
                      <w:b/>
                      <w:i/>
                      <w:sz w:val="18"/>
                    </w:rPr>
                  </w:pPr>
                </w:p>
                <w:p>
                  <w:pPr>
                    <w:pStyle w:val="BodyText"/>
                    <w:rPr>
                      <w:b/>
                      <w:i/>
                      <w:sz w:val="18"/>
                    </w:rPr>
                  </w:pPr>
                </w:p>
                <w:p>
                  <w:pPr>
                    <w:pStyle w:val="BodyText"/>
                    <w:rPr>
                      <w:b/>
                      <w:i/>
                      <w:sz w:val="18"/>
                    </w:rPr>
                  </w:pPr>
                </w:p>
                <w:p>
                  <w:pPr>
                    <w:pStyle w:val="BodyText"/>
                    <w:rPr>
                      <w:b/>
                      <w:i/>
                      <w:sz w:val="18"/>
                    </w:rPr>
                  </w:pPr>
                </w:p>
                <w:p>
                  <w:pPr>
                    <w:pStyle w:val="BodyText"/>
                    <w:rPr>
                      <w:b/>
                      <w:i/>
                      <w:sz w:val="18"/>
                    </w:rPr>
                  </w:pPr>
                </w:p>
                <w:p>
                  <w:pPr>
                    <w:pStyle w:val="BodyText"/>
                    <w:rPr>
                      <w:b/>
                      <w:i/>
                      <w:sz w:val="18"/>
                    </w:rPr>
                  </w:pPr>
                </w:p>
                <w:p>
                  <w:pPr>
                    <w:pStyle w:val="BodyText"/>
                    <w:rPr>
                      <w:b/>
                      <w:i/>
                      <w:sz w:val="18"/>
                    </w:rPr>
                  </w:pPr>
                </w:p>
                <w:p>
                  <w:pPr>
                    <w:spacing w:before="123"/>
                    <w:ind w:left="2544" w:right="0" w:firstLine="0"/>
                    <w:jc w:val="left"/>
                    <w:rPr>
                      <w:b/>
                      <w:i/>
                      <w:sz w:val="16"/>
                    </w:rPr>
                  </w:pPr>
                  <w:r>
                    <w:rPr>
                      <w:b/>
                      <w:i/>
                      <w:w w:val="115"/>
                      <w:sz w:val="16"/>
                    </w:rPr>
                    <w:t>Picture</w:t>
                  </w:r>
                  <w:r>
                    <w:rPr>
                      <w:b/>
                      <w:i/>
                      <w:spacing w:val="-14"/>
                      <w:w w:val="115"/>
                      <w:sz w:val="16"/>
                    </w:rPr>
                    <w:t> </w:t>
                  </w:r>
                  <w:r>
                    <w:rPr>
                      <w:b/>
                      <w:i/>
                      <w:spacing w:val="-3"/>
                      <w:w w:val="115"/>
                      <w:sz w:val="16"/>
                    </w:rPr>
                    <w:t>Text</w:t>
                  </w:r>
                </w:p>
                <w:p>
                  <w:pPr>
                    <w:pStyle w:val="BodyText"/>
                    <w:rPr>
                      <w:b/>
                      <w:i/>
                      <w:sz w:val="18"/>
                    </w:rPr>
                  </w:pPr>
                </w:p>
                <w:p>
                  <w:pPr>
                    <w:pStyle w:val="BodyText"/>
                    <w:rPr>
                      <w:b/>
                      <w:i/>
                      <w:sz w:val="18"/>
                    </w:rPr>
                  </w:pPr>
                </w:p>
                <w:p>
                  <w:pPr>
                    <w:pStyle w:val="BodyText"/>
                    <w:rPr>
                      <w:b/>
                      <w:i/>
                      <w:sz w:val="18"/>
                    </w:rPr>
                  </w:pPr>
                </w:p>
                <w:p>
                  <w:pPr>
                    <w:pStyle w:val="BodyText"/>
                    <w:rPr>
                      <w:b/>
                      <w:i/>
                      <w:sz w:val="18"/>
                    </w:rPr>
                  </w:pPr>
                </w:p>
                <w:p>
                  <w:pPr>
                    <w:pStyle w:val="BodyText"/>
                    <w:spacing w:before="4"/>
                    <w:rPr>
                      <w:b/>
                      <w:i/>
                      <w:sz w:val="16"/>
                    </w:rPr>
                  </w:pPr>
                </w:p>
                <w:p>
                  <w:pPr>
                    <w:tabs>
                      <w:tab w:pos="453" w:val="left" w:leader="none"/>
                    </w:tabs>
                    <w:spacing w:line="385" w:lineRule="exact" w:before="0"/>
                    <w:ind w:left="0" w:right="0" w:firstLine="0"/>
                    <w:jc w:val="left"/>
                    <w:rPr>
                      <w:b/>
                      <w:sz w:val="32"/>
                    </w:rPr>
                  </w:pPr>
                  <w:r>
                    <w:rPr>
                      <w:color w:val="FFFFFF"/>
                      <w:w w:val="110"/>
                      <w:position w:val="2"/>
                      <w:sz w:val="24"/>
                    </w:rPr>
                    <w:t>1</w:t>
                    <w:tab/>
                  </w:r>
                  <w:r>
                    <w:rPr>
                      <w:b/>
                      <w:color w:val="FFFFFF"/>
                      <w:w w:val="110"/>
                      <w:sz w:val="32"/>
                    </w:rPr>
                    <w:t>Church Road,</w:t>
                  </w:r>
                  <w:r>
                    <w:rPr>
                      <w:b/>
                      <w:color w:val="FFFFFF"/>
                      <w:spacing w:val="37"/>
                      <w:w w:val="110"/>
                      <w:sz w:val="32"/>
                    </w:rPr>
                    <w:t> </w:t>
                  </w:r>
                  <w:r>
                    <w:rPr>
                      <w:b/>
                      <w:color w:val="FFFFFF"/>
                      <w:spacing w:val="-6"/>
                      <w:w w:val="110"/>
                      <w:sz w:val="32"/>
                    </w:rPr>
                    <w:t>Tadley</w:t>
                  </w:r>
                </w:p>
              </w:txbxContent>
            </v:textbox>
            <w10:wrap type="none"/>
          </v:shape>
        </w:pict>
      </w:r>
      <w:r>
        <w:rPr/>
        <w:pict>
          <v:rect style="position:absolute;margin-left:-.000004pt;margin-top:.00024pt;width:595.27557pt;height:841.88977pt;mso-position-horizontal-relative:page;mso-position-vertical-relative:page;z-index:-252292096" filled="true" fillcolor="#861d46" stroked="false">
            <v:fill type="solid"/>
            <w10:wrap type="none"/>
          </v:rect>
        </w:pict>
      </w:r>
    </w:p>
    <w:p>
      <w:pPr>
        <w:pStyle w:val="BodyText"/>
        <w:rPr>
          <w:b/>
        </w:rPr>
      </w:pPr>
    </w:p>
    <w:p>
      <w:pPr>
        <w:pStyle w:val="BodyText"/>
        <w:rPr>
          <w:b/>
        </w:rPr>
      </w:pPr>
    </w:p>
    <w:p>
      <w:pPr>
        <w:pStyle w:val="BodyText"/>
        <w:rPr>
          <w:b/>
        </w:rPr>
      </w:pPr>
    </w:p>
    <w:p>
      <w:pPr>
        <w:pStyle w:val="BodyText"/>
        <w:spacing w:before="3"/>
        <w:rPr>
          <w:b/>
        </w:rPr>
      </w:pPr>
    </w:p>
    <w:p>
      <w:pPr>
        <w:pStyle w:val="BodyText"/>
        <w:ind w:left="446"/>
      </w:pPr>
      <w:r>
        <w:rPr/>
        <w:pict>
          <v:group style="width:168.9pt;height:127.6pt;mso-position-horizontal-relative:char;mso-position-vertical-relative:line" coordorigin="0,0" coordsize="3378,2552">
            <v:shape style="position:absolute;left:0;top:0;width:3378;height:2552" coordorigin="0,0" coordsize="3378,2552" path="m3094,2551l283,2551,120,2507,35,2409,4,2312,0,2268,0,283,44,120,142,35,239,4,283,0,3094,0,3258,44,3342,142,3373,239,3377,283,3377,2268,3333,2432,3235,2516,3138,2547,3094,2551xe" filled="true" fillcolor="#ffffff" stroked="false">
              <v:path arrowok="t"/>
              <v:fill type="solid"/>
            </v:shape>
          </v:group>
        </w:pict>
      </w:r>
      <w:r>
        <w:rPr/>
      </w:r>
    </w:p>
    <w:p>
      <w:pPr>
        <w:spacing w:before="81"/>
        <w:ind w:left="1215" w:right="0" w:firstLine="0"/>
        <w:jc w:val="left"/>
        <w:rPr>
          <w:sz w:val="49"/>
        </w:rPr>
      </w:pPr>
      <w:r>
        <w:rPr/>
        <w:pict>
          <v:shape style="position:absolute;margin-left:28.346371pt;margin-top:28.354984pt;width:168.9pt;height:127.6pt;mso-position-horizontal-relative:page;mso-position-vertical-relative:paragraph;z-index:-252294144" coordorigin="567,567" coordsize="3378,2552" path="m3661,3118l850,3118,687,3074,602,2977,571,2879,567,2835,567,851,611,687,709,603,806,572,850,567,3661,567,3825,611,3909,709,3940,806,3944,851,3944,2835,3900,2999,3802,3083,3705,3114,3661,3118xe" filled="true" fillcolor="#ffffff" stroked="false">
            <v:path arrowok="t"/>
            <v:fill type="solid"/>
            <w10:wrap type="none"/>
          </v:shape>
        </w:pict>
      </w:r>
      <w:r>
        <w:rPr>
          <w:color w:val="FFFFFF"/>
          <w:w w:val="105"/>
          <w:sz w:val="49"/>
        </w:rPr>
        <w:t>Conservation </w:t>
      </w:r>
      <w:r>
        <w:rPr>
          <w:color w:val="FFFFFF"/>
          <w:spacing w:val="-3"/>
          <w:w w:val="105"/>
          <w:sz w:val="49"/>
        </w:rPr>
        <w:t>Area</w:t>
      </w:r>
      <w:r>
        <w:rPr>
          <w:color w:val="FFFFFF"/>
          <w:spacing w:val="66"/>
          <w:w w:val="105"/>
          <w:sz w:val="49"/>
        </w:rPr>
        <w:t> </w:t>
      </w:r>
      <w:r>
        <w:rPr>
          <w:color w:val="FFFFFF"/>
          <w:w w:val="105"/>
          <w:sz w:val="49"/>
        </w:rPr>
        <w:t>Appraisal</w:t>
      </w:r>
    </w:p>
    <w:p>
      <w:pPr>
        <w:spacing w:before="87"/>
        <w:ind w:left="1183" w:right="0" w:firstLine="0"/>
        <w:jc w:val="left"/>
        <w:rPr>
          <w:b/>
          <w:sz w:val="73"/>
        </w:rPr>
      </w:pPr>
      <w:r>
        <w:rPr>
          <w:b/>
          <w:color w:val="FFFFFF"/>
          <w:spacing w:val="-3"/>
          <w:w w:val="115"/>
          <w:sz w:val="73"/>
        </w:rPr>
        <w:t>Church </w:t>
      </w:r>
      <w:r>
        <w:rPr>
          <w:b/>
          <w:color w:val="FFFFFF"/>
          <w:w w:val="115"/>
          <w:sz w:val="73"/>
        </w:rPr>
        <w:t>Road,</w:t>
      </w:r>
      <w:r>
        <w:rPr>
          <w:b/>
          <w:color w:val="FFFFFF"/>
          <w:spacing w:val="65"/>
          <w:w w:val="115"/>
          <w:sz w:val="73"/>
        </w:rPr>
        <w:t> </w:t>
      </w:r>
      <w:r>
        <w:rPr>
          <w:b/>
          <w:color w:val="FFFFFF"/>
          <w:spacing w:val="-14"/>
          <w:w w:val="115"/>
          <w:sz w:val="73"/>
        </w:rPr>
        <w:t>Tadley</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
        <w:rPr>
          <w:b/>
          <w:sz w:val="26"/>
        </w:rPr>
      </w:pPr>
      <w:r>
        <w:rPr/>
        <w:pict>
          <v:shape style="position:absolute;margin-left:28.346371pt;margin-top:17.912130pt;width:168.9pt;height:127.6pt;mso-position-horizontal-relative:page;mso-position-vertical-relative:paragraph;z-index:-251632640;mso-wrap-distance-left:0;mso-wrap-distance-right:0" coordorigin="567,358" coordsize="3378,2552" path="m3661,2909l850,2909,687,2865,602,2768,571,2670,567,2626,567,642,611,478,709,394,806,363,850,358,3661,358,3825,403,3909,500,3940,597,3944,642,3944,2626,3900,2790,3802,2874,3705,2905,3661,2909xe" filled="true" fillcolor="#ffffff" stroked="false">
            <v:path arrowok="t"/>
            <v:fill type="solid"/>
            <w10:wrap type="topAndBottom"/>
          </v:shape>
        </w:pict>
      </w:r>
    </w:p>
    <w:p>
      <w:pPr>
        <w:pStyle w:val="BodyText"/>
        <w:rPr>
          <w:b/>
          <w:sz w:val="86"/>
        </w:rPr>
      </w:pPr>
    </w:p>
    <w:p>
      <w:pPr>
        <w:pStyle w:val="BodyText"/>
        <w:spacing w:before="1"/>
        <w:rPr>
          <w:b/>
          <w:sz w:val="117"/>
        </w:rPr>
      </w:pPr>
    </w:p>
    <w:p>
      <w:pPr>
        <w:spacing w:before="1"/>
        <w:ind w:left="807" w:right="0" w:firstLine="0"/>
        <w:jc w:val="left"/>
        <w:rPr>
          <w:rFonts w:ascii="Cambria" w:hAnsi="Cambria"/>
          <w:sz w:val="36"/>
        </w:rPr>
      </w:pPr>
      <w:r>
        <w:rPr/>
        <w:pict>
          <v:shape style="position:absolute;margin-left:28.346371pt;margin-top:-95.094589pt;width:168.9pt;height:127.6pt;mso-position-horizontal-relative:page;mso-position-vertical-relative:paragraph;z-index:-252293120" coordorigin="567,-1902" coordsize="3378,2552" path="m3661,649l850,649,687,605,602,508,571,410,567,366,567,-1618,611,-1782,709,-1866,806,-1897,850,-1902,3661,-1902,3825,-1858,3909,-1760,3940,-1663,3944,-1618,3944,366,3900,530,3802,614,3705,645,3661,649xe" filled="true" fillcolor="#ffffff" stroked="false">
            <v:path arrowok="t"/>
            <v:fill type="solid"/>
            <w10:wrap type="none"/>
          </v:shape>
        </w:pict>
      </w:r>
      <w:r>
        <w:rPr>
          <w:rFonts w:ascii="Cambria" w:hAnsi="Cambria"/>
          <w:color w:val="FFFFFF"/>
          <w:sz w:val="36"/>
        </w:rPr>
        <w:t>…making a difference</w:t>
      </w:r>
    </w:p>
    <w:p>
      <w:pPr>
        <w:pStyle w:val="BodyText"/>
        <w:spacing w:before="5"/>
        <w:rPr>
          <w:rFonts w:ascii="Cambria"/>
          <w:sz w:val="15"/>
        </w:rPr>
      </w:pPr>
    </w:p>
    <w:p>
      <w:pPr>
        <w:pStyle w:val="Heading5"/>
        <w:spacing w:before="97"/>
      </w:pPr>
      <w:r>
        <w:rPr>
          <w:color w:val="FFFFFF"/>
          <w:w w:val="115"/>
        </w:rPr>
        <w:t>Basingstoke and Deane Borough Council</w:t>
      </w:r>
    </w:p>
    <w:p>
      <w:pPr>
        <w:pStyle w:val="BodyText"/>
        <w:spacing w:line="243" w:lineRule="exact" w:before="82"/>
        <w:ind w:left="1175"/>
      </w:pPr>
      <w:r>
        <w:rPr>
          <w:color w:val="FFFFFF"/>
          <w:w w:val="105"/>
        </w:rPr>
        <w:t>Civic Offices London Road Basingstoke Hants RG21 4AH</w:t>
      </w:r>
    </w:p>
    <w:p>
      <w:pPr>
        <w:pStyle w:val="Heading5"/>
        <w:spacing w:line="243" w:lineRule="exact"/>
      </w:pPr>
      <w:r>
        <w:rPr>
          <w:color w:val="FFFFFF"/>
          <w:w w:val="110"/>
        </w:rPr>
        <w:t>Telephone 01256 844844 Fax 01256 845200</w:t>
      </w:r>
    </w:p>
    <w:p>
      <w:pPr>
        <w:spacing w:before="71"/>
        <w:ind w:left="1175" w:right="0" w:firstLine="0"/>
        <w:jc w:val="left"/>
        <w:rPr>
          <w:sz w:val="16"/>
        </w:rPr>
      </w:pPr>
      <w:hyperlink r:id="rId21">
        <w:r>
          <w:rPr>
            <w:color w:val="FFFFFF"/>
            <w:w w:val="105"/>
            <w:sz w:val="16"/>
          </w:rPr>
          <w:t>www.basingstoke.gov.uk</w:t>
        </w:r>
      </w:hyperlink>
    </w:p>
    <w:p>
      <w:pPr>
        <w:tabs>
          <w:tab w:pos="4407" w:val="left" w:leader="none"/>
        </w:tabs>
        <w:spacing w:before="73"/>
        <w:ind w:left="1175" w:right="0" w:firstLine="0"/>
        <w:jc w:val="left"/>
        <w:rPr>
          <w:sz w:val="12"/>
        </w:rPr>
      </w:pPr>
      <w:r>
        <w:rPr>
          <w:color w:val="FFFFFF"/>
          <w:w w:val="105"/>
          <w:sz w:val="12"/>
        </w:rPr>
        <w:t>Produced by Graphics/Corporate</w:t>
      </w:r>
      <w:r>
        <w:rPr>
          <w:color w:val="FFFFFF"/>
          <w:spacing w:val="-4"/>
          <w:w w:val="105"/>
          <w:sz w:val="12"/>
        </w:rPr>
        <w:t> </w:t>
      </w:r>
      <w:r>
        <w:rPr>
          <w:color w:val="FFFFFF"/>
          <w:w w:val="105"/>
          <w:sz w:val="12"/>
        </w:rPr>
        <w:t>Information</w:t>
      </w:r>
      <w:r>
        <w:rPr>
          <w:color w:val="FFFFFF"/>
          <w:spacing w:val="-1"/>
          <w:w w:val="105"/>
          <w:sz w:val="12"/>
        </w:rPr>
        <w:t> </w:t>
      </w:r>
      <w:r>
        <w:rPr>
          <w:color w:val="FFFFFF"/>
          <w:w w:val="105"/>
          <w:sz w:val="12"/>
        </w:rPr>
        <w:t>Division</w:t>
        <w:tab/>
        <w:t>April</w:t>
      </w:r>
      <w:r>
        <w:rPr>
          <w:color w:val="FFFFFF"/>
          <w:spacing w:val="8"/>
          <w:w w:val="105"/>
          <w:sz w:val="12"/>
        </w:rPr>
        <w:t> </w:t>
      </w:r>
      <w:r>
        <w:rPr>
          <w:color w:val="FFFFFF"/>
          <w:w w:val="105"/>
          <w:sz w:val="12"/>
        </w:rPr>
        <w:t>2004</w:t>
      </w:r>
    </w:p>
    <w:p>
      <w:pPr>
        <w:pStyle w:val="BodyText"/>
        <w:spacing w:before="4"/>
        <w:rPr>
          <w:sz w:val="10"/>
        </w:rPr>
      </w:pPr>
    </w:p>
    <w:p>
      <w:pPr>
        <w:spacing w:before="1"/>
        <w:ind w:left="0" w:right="104" w:firstLine="0"/>
        <w:jc w:val="right"/>
        <w:rPr>
          <w:sz w:val="12"/>
        </w:rPr>
      </w:pPr>
      <w:r>
        <w:rPr>
          <w:color w:val="FFFFFF"/>
          <w:w w:val="105"/>
          <w:sz w:val="12"/>
        </w:rPr>
        <w:t>5228</w:t>
      </w:r>
    </w:p>
    <w:sectPr>
      <w:pgSz w:w="11910" w:h="16840"/>
      <w:pgMar w:top="1580" w:bottom="0" w:left="120" w:right="1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Cambria">
    <w:altName w:val="Cambria"/>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4696" w:hanging="252"/>
      </w:pPr>
      <w:rPr>
        <w:rFonts w:hint="default" w:ascii="Calibri" w:hAnsi="Calibri" w:eastAsia="Calibri" w:cs="Calibri"/>
        <w:w w:val="100"/>
        <w:sz w:val="20"/>
        <w:szCs w:val="20"/>
      </w:rPr>
    </w:lvl>
    <w:lvl w:ilvl="1">
      <w:start w:val="0"/>
      <w:numFmt w:val="bullet"/>
      <w:lvlText w:val="•"/>
      <w:lvlJc w:val="left"/>
      <w:pPr>
        <w:ind w:left="5396" w:hanging="252"/>
      </w:pPr>
      <w:rPr>
        <w:rFonts w:hint="default"/>
      </w:rPr>
    </w:lvl>
    <w:lvl w:ilvl="2">
      <w:start w:val="0"/>
      <w:numFmt w:val="bullet"/>
      <w:lvlText w:val="•"/>
      <w:lvlJc w:val="left"/>
      <w:pPr>
        <w:ind w:left="6093" w:hanging="252"/>
      </w:pPr>
      <w:rPr>
        <w:rFonts w:hint="default"/>
      </w:rPr>
    </w:lvl>
    <w:lvl w:ilvl="3">
      <w:start w:val="0"/>
      <w:numFmt w:val="bullet"/>
      <w:lvlText w:val="•"/>
      <w:lvlJc w:val="left"/>
      <w:pPr>
        <w:ind w:left="6789" w:hanging="252"/>
      </w:pPr>
      <w:rPr>
        <w:rFonts w:hint="default"/>
      </w:rPr>
    </w:lvl>
    <w:lvl w:ilvl="4">
      <w:start w:val="0"/>
      <w:numFmt w:val="bullet"/>
      <w:lvlText w:val="•"/>
      <w:lvlJc w:val="left"/>
      <w:pPr>
        <w:ind w:left="7486" w:hanging="252"/>
      </w:pPr>
      <w:rPr>
        <w:rFonts w:hint="default"/>
      </w:rPr>
    </w:lvl>
    <w:lvl w:ilvl="5">
      <w:start w:val="0"/>
      <w:numFmt w:val="bullet"/>
      <w:lvlText w:val="•"/>
      <w:lvlJc w:val="left"/>
      <w:pPr>
        <w:ind w:left="8182" w:hanging="252"/>
      </w:pPr>
      <w:rPr>
        <w:rFonts w:hint="default"/>
      </w:rPr>
    </w:lvl>
    <w:lvl w:ilvl="6">
      <w:start w:val="0"/>
      <w:numFmt w:val="bullet"/>
      <w:lvlText w:val="•"/>
      <w:lvlJc w:val="left"/>
      <w:pPr>
        <w:ind w:left="8879" w:hanging="252"/>
      </w:pPr>
      <w:rPr>
        <w:rFonts w:hint="default"/>
      </w:rPr>
    </w:lvl>
    <w:lvl w:ilvl="7">
      <w:start w:val="0"/>
      <w:numFmt w:val="bullet"/>
      <w:lvlText w:val="•"/>
      <w:lvlJc w:val="left"/>
      <w:pPr>
        <w:ind w:left="9575" w:hanging="252"/>
      </w:pPr>
      <w:rPr>
        <w:rFonts w:hint="default"/>
      </w:rPr>
    </w:lvl>
    <w:lvl w:ilvl="8">
      <w:start w:val="0"/>
      <w:numFmt w:val="bullet"/>
      <w:lvlText w:val="•"/>
      <w:lvlJc w:val="left"/>
      <w:pPr>
        <w:ind w:left="10272" w:hanging="252"/>
      </w:pPr>
      <w:rPr>
        <w:rFonts w:hint="default"/>
      </w:rPr>
    </w:lvl>
  </w:abstractNum>
  <w:abstractNum w:abstractNumId="2">
    <w:multiLevelType w:val="hybridMultilevel"/>
    <w:lvl w:ilvl="0">
      <w:start w:val="0"/>
      <w:numFmt w:val="bullet"/>
      <w:lvlText w:val="•"/>
      <w:lvlJc w:val="left"/>
      <w:pPr>
        <w:ind w:left="1123" w:hanging="252"/>
      </w:pPr>
      <w:rPr>
        <w:rFonts w:hint="default" w:ascii="Calibri" w:hAnsi="Calibri" w:eastAsia="Calibri" w:cs="Calibri"/>
        <w:w w:val="100"/>
        <w:sz w:val="20"/>
        <w:szCs w:val="20"/>
      </w:rPr>
    </w:lvl>
    <w:lvl w:ilvl="1">
      <w:start w:val="0"/>
      <w:numFmt w:val="bullet"/>
      <w:lvlText w:val="•"/>
      <w:lvlJc w:val="left"/>
      <w:pPr>
        <w:ind w:left="1817" w:hanging="252"/>
      </w:pPr>
      <w:rPr>
        <w:rFonts w:hint="default"/>
      </w:rPr>
    </w:lvl>
    <w:lvl w:ilvl="2">
      <w:start w:val="0"/>
      <w:numFmt w:val="bullet"/>
      <w:lvlText w:val="•"/>
      <w:lvlJc w:val="left"/>
      <w:pPr>
        <w:ind w:left="2514" w:hanging="252"/>
      </w:pPr>
      <w:rPr>
        <w:rFonts w:hint="default"/>
      </w:rPr>
    </w:lvl>
    <w:lvl w:ilvl="3">
      <w:start w:val="0"/>
      <w:numFmt w:val="bullet"/>
      <w:lvlText w:val="•"/>
      <w:lvlJc w:val="left"/>
      <w:pPr>
        <w:ind w:left="3211" w:hanging="252"/>
      </w:pPr>
      <w:rPr>
        <w:rFonts w:hint="default"/>
      </w:rPr>
    </w:lvl>
    <w:lvl w:ilvl="4">
      <w:start w:val="0"/>
      <w:numFmt w:val="bullet"/>
      <w:lvlText w:val="•"/>
      <w:lvlJc w:val="left"/>
      <w:pPr>
        <w:ind w:left="3908" w:hanging="252"/>
      </w:pPr>
      <w:rPr>
        <w:rFonts w:hint="default"/>
      </w:rPr>
    </w:lvl>
    <w:lvl w:ilvl="5">
      <w:start w:val="0"/>
      <w:numFmt w:val="bullet"/>
      <w:lvlText w:val="•"/>
      <w:lvlJc w:val="left"/>
      <w:pPr>
        <w:ind w:left="4605" w:hanging="252"/>
      </w:pPr>
      <w:rPr>
        <w:rFonts w:hint="default"/>
      </w:rPr>
    </w:lvl>
    <w:lvl w:ilvl="6">
      <w:start w:val="0"/>
      <w:numFmt w:val="bullet"/>
      <w:lvlText w:val="•"/>
      <w:lvlJc w:val="left"/>
      <w:pPr>
        <w:ind w:left="5303" w:hanging="252"/>
      </w:pPr>
      <w:rPr>
        <w:rFonts w:hint="default"/>
      </w:rPr>
    </w:lvl>
    <w:lvl w:ilvl="7">
      <w:start w:val="0"/>
      <w:numFmt w:val="bullet"/>
      <w:lvlText w:val="•"/>
      <w:lvlJc w:val="left"/>
      <w:pPr>
        <w:ind w:left="6000" w:hanging="252"/>
      </w:pPr>
      <w:rPr>
        <w:rFonts w:hint="default"/>
      </w:rPr>
    </w:lvl>
    <w:lvl w:ilvl="8">
      <w:start w:val="0"/>
      <w:numFmt w:val="bullet"/>
      <w:lvlText w:val="•"/>
      <w:lvlJc w:val="left"/>
      <w:pPr>
        <w:ind w:left="6697" w:hanging="252"/>
      </w:pPr>
      <w:rPr>
        <w:rFonts w:hint="default"/>
      </w:rPr>
    </w:lvl>
  </w:abstractNum>
  <w:abstractNum w:abstractNumId="0">
    <w:multiLevelType w:val="hybridMultilevel"/>
    <w:lvl w:ilvl="0">
      <w:start w:val="0"/>
      <w:numFmt w:val="bullet"/>
      <w:lvlText w:val="•"/>
      <w:lvlJc w:val="left"/>
      <w:pPr>
        <w:ind w:left="1077" w:hanging="264"/>
      </w:pPr>
      <w:rPr>
        <w:rFonts w:hint="default" w:ascii="Calibri" w:hAnsi="Calibri" w:eastAsia="Calibri" w:cs="Calibri"/>
        <w:w w:val="100"/>
        <w:sz w:val="20"/>
        <w:szCs w:val="20"/>
      </w:rPr>
    </w:lvl>
    <w:lvl w:ilvl="1">
      <w:start w:val="0"/>
      <w:numFmt w:val="bullet"/>
      <w:lvlText w:val="•"/>
      <w:lvlJc w:val="left"/>
      <w:pPr>
        <w:ind w:left="1781" w:hanging="264"/>
      </w:pPr>
      <w:rPr>
        <w:rFonts w:hint="default"/>
      </w:rPr>
    </w:lvl>
    <w:lvl w:ilvl="2">
      <w:start w:val="0"/>
      <w:numFmt w:val="bullet"/>
      <w:lvlText w:val="•"/>
      <w:lvlJc w:val="left"/>
      <w:pPr>
        <w:ind w:left="2482" w:hanging="264"/>
      </w:pPr>
      <w:rPr>
        <w:rFonts w:hint="default"/>
      </w:rPr>
    </w:lvl>
    <w:lvl w:ilvl="3">
      <w:start w:val="0"/>
      <w:numFmt w:val="bullet"/>
      <w:lvlText w:val="•"/>
      <w:lvlJc w:val="left"/>
      <w:pPr>
        <w:ind w:left="3183" w:hanging="264"/>
      </w:pPr>
      <w:rPr>
        <w:rFonts w:hint="default"/>
      </w:rPr>
    </w:lvl>
    <w:lvl w:ilvl="4">
      <w:start w:val="0"/>
      <w:numFmt w:val="bullet"/>
      <w:lvlText w:val="•"/>
      <w:lvlJc w:val="left"/>
      <w:pPr>
        <w:ind w:left="3884" w:hanging="264"/>
      </w:pPr>
      <w:rPr>
        <w:rFonts w:hint="default"/>
      </w:rPr>
    </w:lvl>
    <w:lvl w:ilvl="5">
      <w:start w:val="0"/>
      <w:numFmt w:val="bullet"/>
      <w:lvlText w:val="•"/>
      <w:lvlJc w:val="left"/>
      <w:pPr>
        <w:ind w:left="4585" w:hanging="264"/>
      </w:pPr>
      <w:rPr>
        <w:rFonts w:hint="default"/>
      </w:rPr>
    </w:lvl>
    <w:lvl w:ilvl="6">
      <w:start w:val="0"/>
      <w:numFmt w:val="bullet"/>
      <w:lvlText w:val="•"/>
      <w:lvlJc w:val="left"/>
      <w:pPr>
        <w:ind w:left="5287" w:hanging="264"/>
      </w:pPr>
      <w:rPr>
        <w:rFonts w:hint="default"/>
      </w:rPr>
    </w:lvl>
    <w:lvl w:ilvl="7">
      <w:start w:val="0"/>
      <w:numFmt w:val="bullet"/>
      <w:lvlText w:val="•"/>
      <w:lvlJc w:val="left"/>
      <w:pPr>
        <w:ind w:left="5988" w:hanging="264"/>
      </w:pPr>
      <w:rPr>
        <w:rFonts w:hint="default"/>
      </w:rPr>
    </w:lvl>
    <w:lvl w:ilvl="8">
      <w:start w:val="0"/>
      <w:numFmt w:val="bullet"/>
      <w:lvlText w:val="•"/>
      <w:lvlJc w:val="left"/>
      <w:pPr>
        <w:ind w:left="6689" w:hanging="264"/>
      </w:pPr>
      <w:rPr>
        <w:rFonts w:hint="default"/>
      </w:rPr>
    </w:lvl>
  </w:abstractNum>
  <w:num w:numId="2">
    <w:abstractNumId w:val="1"/>
  </w:num>
  <w:num w:numId="3">
    <w:abstractNumId w:val="2"/>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BodyText" w:type="paragraph">
    <w:name w:val="Body Text"/>
    <w:basedOn w:val="Normal"/>
    <w:uiPriority w:val="1"/>
    <w:qFormat/>
    <w:pPr/>
    <w:rPr>
      <w:rFonts w:ascii="Calibri" w:hAnsi="Calibri" w:eastAsia="Calibri" w:cs="Calibri"/>
      <w:sz w:val="20"/>
      <w:szCs w:val="20"/>
    </w:rPr>
  </w:style>
  <w:style w:styleId="Heading1" w:type="paragraph">
    <w:name w:val="Heading 1"/>
    <w:basedOn w:val="Normal"/>
    <w:uiPriority w:val="1"/>
    <w:qFormat/>
    <w:pPr>
      <w:spacing w:before="81"/>
      <w:ind w:left="705"/>
      <w:outlineLvl w:val="1"/>
    </w:pPr>
    <w:rPr>
      <w:rFonts w:ascii="Calibri" w:hAnsi="Calibri" w:eastAsia="Calibri" w:cs="Calibri"/>
      <w:sz w:val="49"/>
      <w:szCs w:val="49"/>
    </w:rPr>
  </w:style>
  <w:style w:styleId="Heading2" w:type="paragraph">
    <w:name w:val="Heading 2"/>
    <w:basedOn w:val="Normal"/>
    <w:uiPriority w:val="1"/>
    <w:qFormat/>
    <w:pPr>
      <w:spacing w:before="95"/>
      <w:outlineLvl w:val="2"/>
    </w:pPr>
    <w:rPr>
      <w:rFonts w:ascii="Calibri" w:hAnsi="Calibri" w:eastAsia="Calibri" w:cs="Calibri"/>
      <w:b/>
      <w:bCs/>
      <w:sz w:val="32"/>
      <w:szCs w:val="32"/>
    </w:rPr>
  </w:style>
  <w:style w:styleId="Heading3" w:type="paragraph">
    <w:name w:val="Heading 3"/>
    <w:basedOn w:val="Normal"/>
    <w:uiPriority w:val="1"/>
    <w:qFormat/>
    <w:pPr>
      <w:spacing w:before="63"/>
      <w:ind w:left="560"/>
      <w:outlineLvl w:val="3"/>
    </w:pPr>
    <w:rPr>
      <w:rFonts w:ascii="Calibri" w:hAnsi="Calibri" w:eastAsia="Calibri" w:cs="Calibri"/>
      <w:sz w:val="32"/>
      <w:szCs w:val="32"/>
    </w:rPr>
  </w:style>
  <w:style w:styleId="Heading4" w:type="paragraph">
    <w:name w:val="Heading 4"/>
    <w:basedOn w:val="Normal"/>
    <w:uiPriority w:val="1"/>
    <w:qFormat/>
    <w:pPr>
      <w:spacing w:before="65"/>
      <w:ind w:left="702"/>
      <w:outlineLvl w:val="4"/>
    </w:pPr>
    <w:rPr>
      <w:rFonts w:ascii="Calibri" w:hAnsi="Calibri" w:eastAsia="Calibri" w:cs="Calibri"/>
      <w:b/>
      <w:bCs/>
      <w:sz w:val="22"/>
      <w:szCs w:val="22"/>
    </w:rPr>
  </w:style>
  <w:style w:styleId="Heading5" w:type="paragraph">
    <w:name w:val="Heading 5"/>
    <w:basedOn w:val="Normal"/>
    <w:uiPriority w:val="1"/>
    <w:qFormat/>
    <w:pPr>
      <w:ind w:left="1175"/>
      <w:outlineLvl w:val="5"/>
    </w:pPr>
    <w:rPr>
      <w:rFonts w:ascii="Calibri" w:hAnsi="Calibri" w:eastAsia="Calibri" w:cs="Calibri"/>
      <w:b/>
      <w:bCs/>
      <w:sz w:val="20"/>
      <w:szCs w:val="20"/>
    </w:rPr>
  </w:style>
  <w:style w:styleId="ListParagraph" w:type="paragraph">
    <w:name w:val="List Paragraph"/>
    <w:basedOn w:val="Normal"/>
    <w:uiPriority w:val="1"/>
    <w:qFormat/>
    <w:pPr>
      <w:ind w:left="1077" w:hanging="264"/>
    </w:pPr>
    <w:rPr>
      <w:rFonts w:ascii="Calibri" w:hAnsi="Calibri" w:eastAsia="Calibri" w:cs="Calibri"/>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hyperlink" Target="http://www.basingstoke.gov.uk/" TargetMode="External"/><Relationship Id="rId2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2020-06-07T19:24:59Z</dcterms:created>
  <dcterms:modified xsi:type="dcterms:W3CDTF">2020-06-07T19:24:59Z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2020-06-07T00:00:00Z</vt:filetime>
  </property>
  <property fmtid="{D5CDD505-2E9C-101B-9397-08002B2CF9AE}" pid="3" name="LastSaved">
    <vt:filetime>2020-06-07T00:00:00Z</vt:filetime>
  </property>
</Properties>
</file>